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08BFBC">
      <w:pPr>
        <w:jc w:val="center"/>
        <w:rPr>
          <w:rFonts w:hint="eastAsia" w:ascii="微软雅黑" w:hAnsi="微软雅黑" w:eastAsia="微软雅黑" w:cs="微软雅黑"/>
          <w:b/>
          <w:bCs/>
          <w:sz w:val="40"/>
          <w:szCs w:val="40"/>
        </w:rPr>
      </w:pPr>
      <w:r>
        <w:rPr>
          <w:rFonts w:hint="eastAsia" w:ascii="微软雅黑" w:hAnsi="微软雅黑" w:eastAsia="微软雅黑" w:cs="微软雅黑"/>
          <w:b/>
          <w:bCs/>
          <w:sz w:val="40"/>
          <w:szCs w:val="40"/>
        </w:rPr>
        <w:t>中山大学附属第一医院广西医院医疗责任保险需求</w:t>
      </w:r>
    </w:p>
    <w:p w14:paraId="76D2F947">
      <w:pPr>
        <w:numPr>
          <w:ilvl w:val="0"/>
          <w:numId w:val="1"/>
        </w:numPr>
        <w:rPr>
          <w:rFonts w:hint="eastAsia" w:asciiTheme="minorEastAsia" w:hAnsiTheme="minorEastAsia" w:eastAsiaTheme="minorEastAsia" w:cstheme="minorEastAsia"/>
          <w:sz w:val="30"/>
          <w:szCs w:val="30"/>
        </w:rPr>
      </w:pPr>
      <w:r>
        <w:rPr>
          <w:rFonts w:hint="eastAsia" w:asciiTheme="minorEastAsia" w:hAnsiTheme="minorEastAsia" w:eastAsiaTheme="minorEastAsia" w:cstheme="minorEastAsia"/>
          <w:sz w:val="30"/>
          <w:szCs w:val="30"/>
        </w:rPr>
        <w:t>医疗责任保险的保险责任：</w:t>
      </w:r>
    </w:p>
    <w:p w14:paraId="6E08E19D">
      <w:pPr>
        <w:ind w:firstLine="600" w:firstLineChars="200"/>
        <w:rPr>
          <w:rFonts w:hint="eastAsia" w:asciiTheme="minorEastAsia" w:hAnsiTheme="minorEastAsia" w:eastAsiaTheme="minorEastAsia" w:cstheme="minorEastAsia"/>
          <w:sz w:val="30"/>
          <w:szCs w:val="30"/>
        </w:rPr>
      </w:pPr>
      <w:r>
        <w:rPr>
          <w:rFonts w:hint="eastAsia" w:asciiTheme="minorEastAsia" w:hAnsiTheme="minorEastAsia" w:eastAsiaTheme="minorEastAsia" w:cstheme="minorEastAsia"/>
          <w:sz w:val="30"/>
          <w:szCs w:val="30"/>
        </w:rPr>
        <w:t>医疗机构和医务人员在保险期内，因医疗责任发生经济赔偿或法律费用，保险公司将依照事先约定承担赔偿责任。即保险公司承担医疗机构及医务人员在从事与其资格相符的诊疗护理工作中，因过失发生医疗事故造成的依法应由医院及医务人员(即被保险人)承担的经济赔偿责任。</w:t>
      </w:r>
    </w:p>
    <w:p w14:paraId="322273FC">
      <w:pPr>
        <w:rPr>
          <w:rFonts w:hint="eastAsia" w:asciiTheme="minorEastAsia" w:hAnsiTheme="minorEastAsia" w:eastAsiaTheme="minorEastAsia" w:cstheme="minorEastAsia"/>
          <w:sz w:val="30"/>
          <w:szCs w:val="30"/>
        </w:rPr>
      </w:pPr>
      <w:r>
        <w:rPr>
          <w:rFonts w:hint="eastAsia" w:asciiTheme="minorEastAsia" w:hAnsiTheme="minorEastAsia" w:eastAsiaTheme="minorEastAsia" w:cstheme="minorEastAsia"/>
          <w:sz w:val="30"/>
          <w:szCs w:val="30"/>
        </w:rPr>
        <w:t>1、基本数据(具体数字以合同为准)</w:t>
      </w:r>
    </w:p>
    <w:p w14:paraId="3180C87C">
      <w:pPr>
        <w:rPr>
          <w:rFonts w:hint="eastAsia" w:asciiTheme="minorEastAsia" w:hAnsiTheme="minorEastAsia" w:eastAsiaTheme="minorEastAsia" w:cstheme="minorEastAsia"/>
          <w:sz w:val="30"/>
          <w:szCs w:val="30"/>
        </w:rPr>
      </w:pPr>
      <w:r>
        <w:rPr>
          <w:rFonts w:hint="eastAsia" w:asciiTheme="minorEastAsia" w:hAnsiTheme="minorEastAsia" w:eastAsiaTheme="minorEastAsia" w:cstheme="minorEastAsia"/>
          <w:sz w:val="30"/>
          <w:szCs w:val="30"/>
        </w:rPr>
        <w:t>（1）医务人员数：</w:t>
      </w:r>
      <w:r>
        <w:rPr>
          <w:rFonts w:hint="eastAsia" w:asciiTheme="minorEastAsia" w:hAnsiTheme="minorEastAsia" w:eastAsiaTheme="minorEastAsia" w:cstheme="minorEastAsia"/>
          <w:sz w:val="30"/>
          <w:szCs w:val="30"/>
          <w:lang w:val="en-US" w:eastAsia="zh-CN"/>
        </w:rPr>
        <w:t>约</w:t>
      </w:r>
      <w:r>
        <w:rPr>
          <w:rFonts w:hint="eastAsia" w:asciiTheme="minorEastAsia" w:hAnsiTheme="minorEastAsia" w:eastAsiaTheme="minorEastAsia" w:cstheme="minorEastAsia"/>
          <w:sz w:val="30"/>
          <w:szCs w:val="30"/>
        </w:rPr>
        <w:t>839人</w:t>
      </w:r>
    </w:p>
    <w:p w14:paraId="4FDEA591">
      <w:pPr>
        <w:rPr>
          <w:rFonts w:hint="eastAsia" w:asciiTheme="minorEastAsia" w:hAnsiTheme="minorEastAsia" w:eastAsiaTheme="minorEastAsia" w:cstheme="minorEastAsia"/>
          <w:sz w:val="30"/>
          <w:szCs w:val="30"/>
        </w:rPr>
      </w:pPr>
      <w:r>
        <w:rPr>
          <w:rFonts w:hint="eastAsia" w:asciiTheme="minorEastAsia" w:hAnsiTheme="minorEastAsia" w:eastAsiaTheme="minorEastAsia" w:cstheme="minorEastAsia"/>
          <w:sz w:val="30"/>
          <w:szCs w:val="30"/>
        </w:rPr>
        <w:t>（2）门急诊人次：</w:t>
      </w:r>
      <w:r>
        <w:rPr>
          <w:rFonts w:hint="eastAsia" w:asciiTheme="minorEastAsia" w:hAnsiTheme="minorEastAsia" w:eastAsiaTheme="minorEastAsia" w:cstheme="minorEastAsia"/>
          <w:sz w:val="30"/>
          <w:szCs w:val="30"/>
          <w:lang w:val="en-US" w:eastAsia="zh-CN"/>
        </w:rPr>
        <w:t>约</w:t>
      </w:r>
      <w:r>
        <w:rPr>
          <w:rFonts w:hint="eastAsia" w:asciiTheme="minorEastAsia" w:hAnsiTheme="minorEastAsia" w:eastAsiaTheme="minorEastAsia" w:cstheme="minorEastAsia"/>
          <w:sz w:val="30"/>
          <w:szCs w:val="30"/>
        </w:rPr>
        <w:t>54万人次</w:t>
      </w:r>
    </w:p>
    <w:p w14:paraId="523FB489">
      <w:pPr>
        <w:rPr>
          <w:rFonts w:hint="eastAsia" w:asciiTheme="minorEastAsia" w:hAnsiTheme="minorEastAsia" w:eastAsiaTheme="minorEastAsia" w:cstheme="minorEastAsia"/>
          <w:sz w:val="30"/>
          <w:szCs w:val="30"/>
        </w:rPr>
      </w:pPr>
      <w:r>
        <w:rPr>
          <w:rFonts w:hint="eastAsia" w:asciiTheme="minorEastAsia" w:hAnsiTheme="minorEastAsia" w:eastAsiaTheme="minorEastAsia" w:cstheme="minorEastAsia"/>
          <w:sz w:val="30"/>
          <w:szCs w:val="30"/>
        </w:rPr>
        <w:t>（3）住院人次：</w:t>
      </w:r>
      <w:r>
        <w:rPr>
          <w:rFonts w:hint="eastAsia" w:asciiTheme="minorEastAsia" w:hAnsiTheme="minorEastAsia" w:eastAsiaTheme="minorEastAsia" w:cstheme="minorEastAsia"/>
          <w:sz w:val="30"/>
          <w:szCs w:val="30"/>
          <w:lang w:val="en-US" w:eastAsia="zh-CN"/>
        </w:rPr>
        <w:t>约</w:t>
      </w:r>
      <w:r>
        <w:rPr>
          <w:rFonts w:hint="eastAsia" w:asciiTheme="minorEastAsia" w:hAnsiTheme="minorEastAsia" w:eastAsiaTheme="minorEastAsia" w:cstheme="minorEastAsia"/>
          <w:sz w:val="30"/>
          <w:szCs w:val="30"/>
        </w:rPr>
        <w:t>1.84万人次</w:t>
      </w:r>
    </w:p>
    <w:p w14:paraId="11F56986">
      <w:pPr>
        <w:rPr>
          <w:rFonts w:hint="eastAsia" w:asciiTheme="minorEastAsia" w:hAnsiTheme="minorEastAsia" w:eastAsiaTheme="minorEastAsia" w:cstheme="minorEastAsia"/>
          <w:sz w:val="30"/>
          <w:szCs w:val="30"/>
        </w:rPr>
      </w:pPr>
      <w:r>
        <w:rPr>
          <w:rFonts w:hint="eastAsia" w:asciiTheme="minorEastAsia" w:hAnsiTheme="minorEastAsia" w:eastAsiaTheme="minorEastAsia" w:cstheme="minorEastAsia"/>
          <w:sz w:val="30"/>
          <w:szCs w:val="30"/>
        </w:rPr>
        <w:t>（4）床位数：</w:t>
      </w:r>
      <w:r>
        <w:rPr>
          <w:rFonts w:hint="eastAsia" w:asciiTheme="minorEastAsia" w:hAnsiTheme="minorEastAsia" w:eastAsiaTheme="minorEastAsia" w:cstheme="minorEastAsia"/>
          <w:sz w:val="30"/>
          <w:szCs w:val="30"/>
          <w:lang w:val="en-US" w:eastAsia="zh-CN"/>
        </w:rPr>
        <w:t>约500</w:t>
      </w:r>
      <w:r>
        <w:rPr>
          <w:rFonts w:hint="eastAsia" w:asciiTheme="minorEastAsia" w:hAnsiTheme="minorEastAsia" w:eastAsiaTheme="minorEastAsia" w:cstheme="minorEastAsia"/>
          <w:sz w:val="30"/>
          <w:szCs w:val="30"/>
        </w:rPr>
        <w:t>张</w:t>
      </w:r>
    </w:p>
    <w:p w14:paraId="074D112E">
      <w:pPr>
        <w:rPr>
          <w:rFonts w:hint="eastAsia" w:asciiTheme="minorEastAsia" w:hAnsiTheme="minorEastAsia" w:eastAsiaTheme="minorEastAsia" w:cstheme="minorEastAsia"/>
          <w:sz w:val="30"/>
          <w:szCs w:val="30"/>
        </w:rPr>
      </w:pPr>
      <w:r>
        <w:rPr>
          <w:rFonts w:hint="eastAsia" w:asciiTheme="minorEastAsia" w:hAnsiTheme="minorEastAsia" w:eastAsiaTheme="minorEastAsia" w:cstheme="minorEastAsia"/>
          <w:sz w:val="30"/>
          <w:szCs w:val="30"/>
        </w:rPr>
        <w:t>2、保险责任</w:t>
      </w:r>
    </w:p>
    <w:p w14:paraId="1B536CAE">
      <w:pPr>
        <w:rPr>
          <w:rFonts w:hint="eastAsia" w:asciiTheme="minorEastAsia" w:hAnsiTheme="minorEastAsia" w:eastAsiaTheme="minorEastAsia" w:cstheme="minorEastAsia"/>
          <w:sz w:val="30"/>
          <w:szCs w:val="30"/>
        </w:rPr>
      </w:pPr>
      <w:r>
        <w:rPr>
          <w:rFonts w:hint="eastAsia" w:asciiTheme="minorEastAsia" w:hAnsiTheme="minorEastAsia" w:eastAsiaTheme="minorEastAsia" w:cstheme="minorEastAsia"/>
          <w:sz w:val="30"/>
          <w:szCs w:val="30"/>
        </w:rPr>
        <w:t>（1）医疗责任每人赔偿限额：不低于30万元；</w:t>
      </w:r>
    </w:p>
    <w:p w14:paraId="02803E8A">
      <w:pPr>
        <w:rPr>
          <w:rFonts w:hint="eastAsia" w:asciiTheme="minorEastAsia" w:hAnsiTheme="minorEastAsia" w:eastAsiaTheme="minorEastAsia" w:cstheme="minorEastAsia"/>
          <w:sz w:val="30"/>
          <w:szCs w:val="30"/>
        </w:rPr>
      </w:pPr>
      <w:r>
        <w:rPr>
          <w:rFonts w:hint="eastAsia" w:asciiTheme="minorEastAsia" w:hAnsiTheme="minorEastAsia" w:eastAsiaTheme="minorEastAsia" w:cstheme="minorEastAsia"/>
          <w:sz w:val="30"/>
          <w:szCs w:val="30"/>
        </w:rPr>
        <w:t>（2）医疗责任累计赔偿限额：不低于150万元；</w:t>
      </w:r>
    </w:p>
    <w:p w14:paraId="7726485D">
      <w:pPr>
        <w:rPr>
          <w:rFonts w:hint="eastAsia" w:asciiTheme="minorEastAsia" w:hAnsiTheme="minorEastAsia" w:eastAsiaTheme="minorEastAsia" w:cstheme="minorEastAsia"/>
          <w:sz w:val="30"/>
          <w:szCs w:val="30"/>
        </w:rPr>
      </w:pPr>
      <w:r>
        <w:rPr>
          <w:rFonts w:hint="eastAsia" w:asciiTheme="minorEastAsia" w:hAnsiTheme="minorEastAsia" w:eastAsiaTheme="minorEastAsia" w:cstheme="minorEastAsia"/>
          <w:sz w:val="30"/>
          <w:szCs w:val="30"/>
        </w:rPr>
        <w:t>（3）法律费用每次索赔赔偿限额：不低于22.5万元；法律费用每次事故赔偿限额以及法律费用累计赔偿限额均为累计赔偿限额的15%，且在累计赔偿限额之外计算。</w:t>
      </w:r>
    </w:p>
    <w:p w14:paraId="7B0B19BB">
      <w:pPr>
        <w:rPr>
          <w:rFonts w:hint="eastAsia" w:asciiTheme="minorEastAsia" w:hAnsiTheme="minorEastAsia" w:eastAsiaTheme="minorEastAsia" w:cstheme="minorEastAsia"/>
          <w:sz w:val="30"/>
          <w:szCs w:val="30"/>
        </w:rPr>
      </w:pPr>
      <w:r>
        <w:rPr>
          <w:rFonts w:hint="eastAsia" w:asciiTheme="minorEastAsia" w:hAnsiTheme="minorEastAsia" w:eastAsiaTheme="minorEastAsia" w:cstheme="minorEastAsia"/>
          <w:sz w:val="30"/>
          <w:szCs w:val="30"/>
        </w:rPr>
        <w:t>（4）精神损害每人责任限额：为医疗责任每人责任限额的30%（不低于），并包含在医疗责任每人限额内；</w:t>
      </w:r>
    </w:p>
    <w:p w14:paraId="26FAADA4">
      <w:pPr>
        <w:rPr>
          <w:rFonts w:hint="eastAsia" w:asciiTheme="minorEastAsia" w:hAnsiTheme="minorEastAsia" w:eastAsiaTheme="minorEastAsia" w:cstheme="minorEastAsia"/>
          <w:sz w:val="30"/>
          <w:szCs w:val="30"/>
        </w:rPr>
      </w:pPr>
      <w:r>
        <w:rPr>
          <w:rFonts w:hint="eastAsia" w:asciiTheme="minorEastAsia" w:hAnsiTheme="minorEastAsia" w:eastAsiaTheme="minorEastAsia" w:cstheme="minorEastAsia"/>
          <w:sz w:val="30"/>
          <w:szCs w:val="30"/>
        </w:rPr>
        <w:t>（5）医疗意外的每人赔偿限额和累计赔偿限额为医疗责任赔偿限额的35%（不低于），并在赔偿限额之内计算；</w:t>
      </w:r>
    </w:p>
    <w:p w14:paraId="4EFFEBCB">
      <w:pPr>
        <w:rPr>
          <w:rFonts w:hint="eastAsia" w:asciiTheme="minorEastAsia" w:hAnsiTheme="minorEastAsia" w:eastAsiaTheme="minorEastAsia" w:cstheme="minorEastAsia"/>
          <w:sz w:val="30"/>
          <w:szCs w:val="30"/>
        </w:rPr>
      </w:pPr>
      <w:r>
        <w:rPr>
          <w:rFonts w:hint="eastAsia" w:asciiTheme="minorEastAsia" w:hAnsiTheme="minorEastAsia" w:eastAsiaTheme="minorEastAsia" w:cstheme="minorEastAsia"/>
          <w:sz w:val="30"/>
          <w:szCs w:val="30"/>
        </w:rPr>
        <w:t>（6）保险期限：一年（以保单实际生效日期为准）；</w:t>
      </w:r>
    </w:p>
    <w:p w14:paraId="04ACA4AA">
      <w:pPr>
        <w:rPr>
          <w:rFonts w:hint="eastAsia" w:asciiTheme="minorEastAsia" w:hAnsiTheme="minorEastAsia" w:eastAsiaTheme="minorEastAsia" w:cstheme="minorEastAsia"/>
          <w:sz w:val="30"/>
          <w:szCs w:val="30"/>
        </w:rPr>
      </w:pPr>
      <w:r>
        <w:rPr>
          <w:rFonts w:hint="eastAsia" w:asciiTheme="minorEastAsia" w:hAnsiTheme="minorEastAsia" w:eastAsiaTheme="minorEastAsia" w:cstheme="minorEastAsia"/>
          <w:sz w:val="30"/>
          <w:szCs w:val="30"/>
        </w:rPr>
        <w:t>（7）追溯期限：12个月。（备注：首次投保不设追溯期，第二年续保，追溯期为1年，第三年续保追溯期为2年，第四年续保追溯期为3年。连续投保的医疗机构，保险责任追溯期最高不超过3年。）。</w:t>
      </w:r>
    </w:p>
    <w:p w14:paraId="344AE542">
      <w:pPr>
        <w:rPr>
          <w:rFonts w:hint="eastAsia" w:asciiTheme="minorEastAsia" w:hAnsiTheme="minorEastAsia" w:eastAsiaTheme="minorEastAsia" w:cstheme="minorEastAsia"/>
          <w:sz w:val="30"/>
          <w:szCs w:val="30"/>
        </w:rPr>
      </w:pPr>
    </w:p>
    <w:p w14:paraId="1F9BB106">
      <w:pPr>
        <w:numPr>
          <w:ilvl w:val="0"/>
          <w:numId w:val="1"/>
        </w:numPr>
        <w:rPr>
          <w:rFonts w:hint="eastAsia" w:asciiTheme="minorEastAsia" w:hAnsiTheme="minorEastAsia" w:eastAsiaTheme="minorEastAsia" w:cstheme="minorEastAsia"/>
          <w:sz w:val="30"/>
          <w:szCs w:val="30"/>
        </w:rPr>
      </w:pPr>
      <w:r>
        <w:rPr>
          <w:rFonts w:hint="eastAsia" w:asciiTheme="minorEastAsia" w:hAnsiTheme="minorEastAsia" w:eastAsiaTheme="minorEastAsia" w:cstheme="minorEastAsia"/>
          <w:sz w:val="30"/>
          <w:szCs w:val="30"/>
        </w:rPr>
        <w:t>投保标的：医疗机构（中山大学附属第一医院广西医院）及医务人员。</w:t>
      </w:r>
    </w:p>
    <w:p w14:paraId="6291B9D7">
      <w:pPr>
        <w:rPr>
          <w:rFonts w:hint="eastAsia" w:asciiTheme="minorEastAsia" w:hAnsiTheme="minorEastAsia" w:eastAsiaTheme="minorEastAsia" w:cstheme="minorEastAsia"/>
          <w:sz w:val="30"/>
          <w:szCs w:val="30"/>
        </w:rPr>
      </w:pPr>
    </w:p>
    <w:p w14:paraId="454523C5">
      <w:pPr>
        <w:numPr>
          <w:ilvl w:val="0"/>
          <w:numId w:val="1"/>
        </w:numPr>
        <w:rPr>
          <w:rFonts w:hint="eastAsia" w:asciiTheme="minorEastAsia" w:hAnsiTheme="minorEastAsia" w:eastAsiaTheme="minorEastAsia" w:cstheme="minorEastAsia"/>
          <w:sz w:val="30"/>
          <w:szCs w:val="30"/>
        </w:rPr>
      </w:pPr>
      <w:r>
        <w:rPr>
          <w:rFonts w:hint="eastAsia" w:asciiTheme="minorEastAsia" w:hAnsiTheme="minorEastAsia" w:eastAsiaTheme="minorEastAsia" w:cstheme="minorEastAsia"/>
          <w:sz w:val="30"/>
          <w:szCs w:val="30"/>
        </w:rPr>
        <w:t>免赔：无。</w:t>
      </w:r>
    </w:p>
    <w:p w14:paraId="5C106CC7">
      <w:pPr>
        <w:rPr>
          <w:rFonts w:hint="eastAsia" w:asciiTheme="minorEastAsia" w:hAnsiTheme="minorEastAsia" w:eastAsiaTheme="minorEastAsia" w:cstheme="minorEastAsia"/>
          <w:sz w:val="30"/>
          <w:szCs w:val="30"/>
        </w:rPr>
      </w:pPr>
    </w:p>
    <w:p w14:paraId="0D4FA7D4">
      <w:pPr>
        <w:numPr>
          <w:ilvl w:val="0"/>
          <w:numId w:val="1"/>
        </w:numPr>
        <w:rPr>
          <w:rFonts w:hint="eastAsia" w:asciiTheme="minorEastAsia" w:hAnsiTheme="minorEastAsia" w:eastAsiaTheme="minorEastAsia" w:cstheme="minorEastAsia"/>
          <w:sz w:val="30"/>
          <w:szCs w:val="30"/>
        </w:rPr>
      </w:pPr>
      <w:r>
        <w:rPr>
          <w:rFonts w:hint="eastAsia" w:asciiTheme="minorEastAsia" w:hAnsiTheme="minorEastAsia" w:eastAsiaTheme="minorEastAsia" w:cstheme="minorEastAsia"/>
          <w:sz w:val="30"/>
          <w:szCs w:val="30"/>
        </w:rPr>
        <w:t>服务期：一年。</w:t>
      </w:r>
    </w:p>
    <w:p w14:paraId="75756A95">
      <w:pPr>
        <w:rPr>
          <w:rFonts w:hint="eastAsia" w:asciiTheme="minorEastAsia" w:hAnsiTheme="minorEastAsia" w:eastAsiaTheme="minorEastAsia" w:cstheme="minorEastAsia"/>
          <w:sz w:val="30"/>
          <w:szCs w:val="30"/>
        </w:rPr>
      </w:pPr>
    </w:p>
    <w:p w14:paraId="34D18EB9">
      <w:pPr>
        <w:numPr>
          <w:ilvl w:val="0"/>
          <w:numId w:val="1"/>
        </w:numPr>
        <w:rPr>
          <w:rFonts w:hint="eastAsia" w:asciiTheme="minorEastAsia" w:hAnsiTheme="minorEastAsia" w:eastAsiaTheme="minorEastAsia" w:cstheme="minorEastAsia"/>
          <w:sz w:val="30"/>
          <w:szCs w:val="30"/>
        </w:rPr>
      </w:pPr>
      <w:r>
        <w:rPr>
          <w:rFonts w:hint="eastAsia" w:asciiTheme="minorEastAsia" w:hAnsiTheme="minorEastAsia" w:eastAsiaTheme="minorEastAsia" w:cstheme="minorEastAsia"/>
          <w:sz w:val="30"/>
          <w:szCs w:val="30"/>
        </w:rPr>
        <w:t>保险机构提供文件中必须提供针对本项目的保险服务方案，方案中包括承保设计、项目实施方案、理赔服务措施、增值服务等。</w:t>
      </w:r>
    </w:p>
    <w:p w14:paraId="6C93E2FD">
      <w:pPr>
        <w:rPr>
          <w:rFonts w:hint="eastAsia" w:asciiTheme="minorEastAsia" w:hAnsiTheme="minorEastAsia" w:eastAsiaTheme="minorEastAsia" w:cstheme="minorEastAsia"/>
          <w:sz w:val="30"/>
          <w:szCs w:val="30"/>
        </w:rPr>
      </w:pPr>
    </w:p>
    <w:p w14:paraId="171A0A4C">
      <w:pPr>
        <w:numPr>
          <w:ilvl w:val="0"/>
          <w:numId w:val="1"/>
        </w:numPr>
        <w:rPr>
          <w:rFonts w:hint="eastAsia" w:asciiTheme="minorEastAsia" w:hAnsiTheme="minorEastAsia" w:eastAsiaTheme="minorEastAsia" w:cstheme="minorEastAsia"/>
          <w:sz w:val="30"/>
          <w:szCs w:val="30"/>
        </w:rPr>
      </w:pPr>
      <w:r>
        <w:rPr>
          <w:rFonts w:hint="eastAsia" w:asciiTheme="minorEastAsia" w:hAnsiTheme="minorEastAsia" w:eastAsiaTheme="minorEastAsia" w:cstheme="minorEastAsia"/>
          <w:sz w:val="30"/>
          <w:szCs w:val="30"/>
        </w:rPr>
        <w:t>按</w:t>
      </w:r>
      <w:bookmarkStart w:id="0" w:name="_GoBack"/>
      <w:r>
        <w:rPr>
          <w:rFonts w:hint="eastAsia" w:asciiTheme="minorEastAsia" w:hAnsiTheme="minorEastAsia" w:eastAsiaTheme="minorEastAsia" w:cstheme="minorEastAsia"/>
          <w:sz w:val="30"/>
          <w:szCs w:val="30"/>
        </w:rPr>
        <w:t>《广西壮族自治区医疗责任保险统保方案》</w:t>
      </w:r>
      <w:bookmarkEnd w:id="0"/>
      <w:r>
        <w:rPr>
          <w:rFonts w:hint="eastAsia" w:asciiTheme="minorEastAsia" w:hAnsiTheme="minorEastAsia" w:eastAsiaTheme="minorEastAsia" w:cstheme="minorEastAsia"/>
          <w:sz w:val="30"/>
          <w:szCs w:val="30"/>
        </w:rPr>
        <w:t>相关约定执行。</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方正大黑体_GBK">
    <w:panose1 w:val="02010600010101010101"/>
    <w:charset w:val="86"/>
    <w:family w:val="auto"/>
    <w:pitch w:val="default"/>
    <w:sig w:usb0="00000001" w:usb1="080E0000" w:usb2="00000000" w:usb3="00000000" w:csb0="40040001" w:csb1="C0D60000"/>
  </w:font>
  <w:font w:name="微软雅黑 Light">
    <w:panose1 w:val="020B0502040204020203"/>
    <w:charset w:val="86"/>
    <w:family w:val="auto"/>
    <w:pitch w:val="default"/>
    <w:sig w:usb0="80000287" w:usb1="2ACF0010" w:usb2="00000016" w:usb3="00000000" w:csb0="0004001F" w:csb1="00000000"/>
  </w:font>
  <w:font w:name="新宋体">
    <w:panose1 w:val="02010609030101010101"/>
    <w:charset w:val="86"/>
    <w:family w:val="auto"/>
    <w:pitch w:val="default"/>
    <w:sig w:usb0="00000283" w:usb1="288F0000" w:usb2="00000006" w:usb3="00000000" w:csb0="00040001" w:csb1="00000000"/>
  </w:font>
  <w:font w:name="方正仿宋_GB2312">
    <w:panose1 w:val="02000000000000000000"/>
    <w:charset w:val="86"/>
    <w:family w:val="auto"/>
    <w:pitch w:val="default"/>
    <w:sig w:usb0="A00002BF" w:usb1="184F6CFA" w:usb2="00000012"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2CCA2CE"/>
    <w:multiLevelType w:val="singleLevel"/>
    <w:tmpl w:val="92CCA2CE"/>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MwNmVjOTc2ZTkwMzdlZmI0NmNmYWM3MGVjZjQ2MjgifQ=="/>
  </w:docVars>
  <w:rsids>
    <w:rsidRoot w:val="398503F9"/>
    <w:rsid w:val="00542457"/>
    <w:rsid w:val="005713E6"/>
    <w:rsid w:val="00C34700"/>
    <w:rsid w:val="054E2A9E"/>
    <w:rsid w:val="143B42DF"/>
    <w:rsid w:val="21EF55AB"/>
    <w:rsid w:val="24C03D26"/>
    <w:rsid w:val="379B7974"/>
    <w:rsid w:val="398503F9"/>
    <w:rsid w:val="427F6A7A"/>
    <w:rsid w:val="453E4779"/>
    <w:rsid w:val="486522E6"/>
    <w:rsid w:val="4FC1529B"/>
    <w:rsid w:val="58005269"/>
    <w:rsid w:val="5BCD38E5"/>
    <w:rsid w:val="67203254"/>
    <w:rsid w:val="70C52F14"/>
    <w:rsid w:val="7D782ED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qFormat/>
    <w:uiPriority w:val="0"/>
    <w:pPr>
      <w:tabs>
        <w:tab w:val="center" w:pos="4153"/>
        <w:tab w:val="right" w:pos="8306"/>
      </w:tabs>
      <w:snapToGrid w:val="0"/>
      <w:jc w:val="left"/>
    </w:pPr>
    <w:rPr>
      <w:sz w:val="18"/>
      <w:szCs w:val="18"/>
    </w:rPr>
  </w:style>
  <w:style w:type="paragraph" w:styleId="3">
    <w:name w:val="header"/>
    <w:basedOn w:val="1"/>
    <w:link w:val="6"/>
    <w:qFormat/>
    <w:uiPriority w:val="0"/>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qFormat/>
    <w:uiPriority w:val="0"/>
    <w:rPr>
      <w:kern w:val="2"/>
      <w:sz w:val="18"/>
      <w:szCs w:val="18"/>
    </w:rPr>
  </w:style>
  <w:style w:type="character" w:customStyle="1" w:styleId="7">
    <w:name w:val="页脚 Char"/>
    <w:basedOn w:val="5"/>
    <w:link w:val="2"/>
    <w:qFormat/>
    <w:uiPriority w:val="0"/>
    <w:rPr>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663</Words>
  <Characters>684</Characters>
  <Lines>5</Lines>
  <Paragraphs>1</Paragraphs>
  <TotalTime>87</TotalTime>
  <ScaleCrop>false</ScaleCrop>
  <LinksUpToDate>false</LinksUpToDate>
  <CharactersWithSpaces>684</CharactersWithSpaces>
  <Application>WPS Office_12.1.0.18912_F1E327BC-269C-435d-A152-05C5408002CA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2023-06-16T09:47:00Z</dcterms:created>
  <dc:creator>Administrator</dc:creator>
  <cp:lastModifiedBy>秋秋</cp:lastModifiedBy>
  <dcterms:modified xsi:type="dcterms:W3CDTF">2024-11-25T02:24:04Z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2052-12.1.0.18912</vt:lpwstr>
  </property>
  <property fmtid="{D5CDD505-2E9C-101B-9397-08002B2CF9AE}" pid="3" name="ICV">
    <vt:lpwstr>24EA948D394949FD93AB5536505C5EB4_13</vt:lpwstr>
  </property>
</Properties>
</file>