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numPr>
          <w:ilvl w:val="0"/>
          <w:numId w:val="0"/>
        </w:numPr>
        <w:jc w:val="center"/>
        <w:rPr>
          <w:rFonts w:hint="eastAsia" w:ascii="微软雅黑" w:hAnsi="微软雅黑" w:eastAsia="微软雅黑" w:cs="微软雅黑"/>
          <w:b/>
          <w:bCs/>
          <w:i w:val="0"/>
          <w:iCs w:val="0"/>
          <w:caps w:val="0"/>
          <w:color w:val="000000"/>
          <w:spacing w:val="0"/>
          <w:sz w:val="40"/>
          <w:szCs w:val="40"/>
          <w:lang w:val="en-US" w:eastAsia="zh-CN"/>
        </w:rPr>
      </w:pPr>
      <w:r>
        <w:rPr>
          <w:rFonts w:hint="eastAsia" w:ascii="微软雅黑" w:hAnsi="微软雅黑" w:eastAsia="微软雅黑" w:cs="微软雅黑"/>
          <w:b/>
          <w:bCs/>
          <w:i w:val="0"/>
          <w:iCs w:val="0"/>
          <w:caps w:val="0"/>
          <w:color w:val="000000"/>
          <w:spacing w:val="0"/>
          <w:sz w:val="40"/>
          <w:szCs w:val="40"/>
          <w:lang w:val="en-US" w:eastAsia="zh-CN"/>
        </w:rPr>
        <w:t>中山大学附属第一医院广西医院特殊医学用途配方食品类需求及报价表</w:t>
      </w:r>
    </w:p>
    <w:p>
      <w:pPr>
        <w:widowControl/>
        <w:numPr>
          <w:ilvl w:val="0"/>
          <w:numId w:val="1"/>
        </w:numPr>
        <w:jc w:val="left"/>
        <w:rPr>
          <w:b/>
          <w:bCs/>
          <w:color w:val="000000" w:themeColor="text1"/>
          <w:sz w:val="32"/>
          <w:szCs w:val="32"/>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采购品目</w:t>
      </w:r>
      <w:r>
        <w:rPr>
          <w:rFonts w:hint="eastAsia"/>
          <w:b/>
          <w:bCs/>
          <w:color w:val="000000" w:themeColor="text1"/>
          <w:sz w:val="32"/>
          <w:szCs w:val="32"/>
          <w14:textFill>
            <w14:solidFill>
              <w14:schemeClr w14:val="tx1"/>
            </w14:solidFill>
          </w14:textFill>
        </w:rPr>
        <w:t>：</w:t>
      </w:r>
      <w:r>
        <w:rPr>
          <w:rFonts w:hint="eastAsia"/>
          <w:b/>
          <w:bCs/>
          <w:color w:val="000000" w:themeColor="text1"/>
          <w:sz w:val="32"/>
          <w:szCs w:val="32"/>
          <w:lang w:eastAsia="zh-CN"/>
          <w14:textFill>
            <w14:solidFill>
              <w14:schemeClr w14:val="tx1"/>
            </w14:solidFill>
          </w14:textFill>
        </w:rPr>
        <w:t>（</w:t>
      </w:r>
      <w:r>
        <w:rPr>
          <w:rFonts w:hint="eastAsia"/>
          <w:b/>
          <w:bCs/>
          <w:color w:val="000000" w:themeColor="text1"/>
          <w:sz w:val="32"/>
          <w:szCs w:val="32"/>
          <w:lang w:val="en-US" w:eastAsia="zh-CN"/>
          <w14:textFill>
            <w14:solidFill>
              <w14:schemeClr w14:val="tx1"/>
            </w14:solidFill>
          </w14:textFill>
        </w:rPr>
        <w:t>预算25万</w:t>
      </w:r>
      <w:r>
        <w:rPr>
          <w:rFonts w:hint="eastAsia"/>
          <w:b/>
          <w:bCs/>
          <w:color w:val="000000" w:themeColor="text1"/>
          <w:sz w:val="32"/>
          <w:szCs w:val="32"/>
          <w:lang w:eastAsia="zh-CN"/>
          <w14:textFill>
            <w14:solidFill>
              <w14:schemeClr w14:val="tx1"/>
            </w14:solidFill>
          </w14:textFill>
        </w:rPr>
        <w:t>）</w:t>
      </w:r>
    </w:p>
    <w:tbl>
      <w:tblPr>
        <w:tblStyle w:val="9"/>
        <w:tblpPr w:leftFromText="180" w:rightFromText="180" w:vertAnchor="text" w:horzAnchor="page" w:tblpX="1782" w:tblpY="317"/>
        <w:tblOverlap w:val="never"/>
        <w:tblW w:w="98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0"/>
        <w:gridCol w:w="1530"/>
        <w:gridCol w:w="1420"/>
        <w:gridCol w:w="60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每克单价（元）</w:t>
            </w:r>
          </w:p>
        </w:tc>
        <w:tc>
          <w:tcPr>
            <w:tcW w:w="6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特殊医学用途蛋白质组件配方食品</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6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每100g含量：蛋白质：≥80g，来源乳清蛋白；钠：≤1110mg.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适用于1、低蛋白血症；2、胃肠功能障碍营养支持；3、围手术期营养支持；4、危重疾病营养支持。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特殊医学用途全营养配方食品</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0.34 </w:t>
            </w:r>
          </w:p>
        </w:tc>
        <w:tc>
          <w:tcPr>
            <w:tcW w:w="6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能量:1500-1600KJ/100g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蛋白质:80-90g/100g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碳水化合物≤5g/100g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钠:100-400mg/100g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适用于10岁以上有胃肠道功能或部分胃肠道功能需要营养补充或饮食替代的人群。</w:t>
            </w:r>
          </w:p>
        </w:tc>
      </w:tr>
    </w:tbl>
    <w:p>
      <w:pPr>
        <w:widowControl/>
        <w:numPr>
          <w:ilvl w:val="0"/>
          <w:numId w:val="0"/>
        </w:numPr>
        <w:jc w:val="left"/>
        <w:rPr>
          <w:b/>
          <w:bCs/>
          <w:color w:val="000000" w:themeColor="text1"/>
          <w:sz w:val="32"/>
          <w:szCs w:val="32"/>
          <w14:textFill>
            <w14:solidFill>
              <w14:schemeClr w14:val="tx1"/>
            </w14:solidFill>
          </w14:textFill>
        </w:rPr>
      </w:pPr>
    </w:p>
    <w:p>
      <w:pPr>
        <w:widowControl/>
        <w:numPr>
          <w:ilvl w:val="0"/>
          <w:numId w:val="1"/>
        </w:numPr>
        <w:jc w:val="left"/>
        <w:rPr>
          <w:rFonts w:hint="eastAsia"/>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资格要求</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30"/>
          <w:szCs w:val="30"/>
          <w14:textFill>
            <w14:solidFill>
              <w14:schemeClr w14:val="tx1"/>
            </w14:solidFill>
          </w14:textFill>
        </w:rPr>
        <w:t>在中华人民共和国境内注册，应具备《中华人民共和国政府采购法》第二十二条规定的条件，有能力提供本次采购项目及所要求的服务。</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30"/>
          <w:szCs w:val="30"/>
          <w14:textFill>
            <w14:solidFill>
              <w14:schemeClr w14:val="tx1"/>
            </w14:solidFill>
          </w14:textFill>
        </w:rPr>
        <w:t>具备合法经营资质，具有履行合同所</w:t>
      </w:r>
      <w:r>
        <w:rPr>
          <w:rFonts w:hint="eastAsia" w:asciiTheme="minorEastAsia" w:hAnsiTheme="minorEastAsia" w:eastAsiaTheme="minorEastAsia" w:cstheme="minorEastAsia"/>
          <w:color w:val="000000" w:themeColor="text1"/>
          <w:sz w:val="30"/>
          <w:szCs w:val="30"/>
          <w:lang w:eastAsia="zh-CN"/>
          <w14:textFill>
            <w14:solidFill>
              <w14:schemeClr w14:val="tx1"/>
            </w14:solidFill>
          </w14:textFill>
        </w:rPr>
        <w:t>需要</w:t>
      </w:r>
      <w:r>
        <w:rPr>
          <w:rFonts w:hint="eastAsia" w:asciiTheme="minorEastAsia" w:hAnsiTheme="minorEastAsia" w:eastAsiaTheme="minorEastAsia" w:cstheme="minorEastAsia"/>
          <w:color w:val="000000" w:themeColor="text1"/>
          <w:sz w:val="30"/>
          <w:szCs w:val="30"/>
          <w14:textFill>
            <w14:solidFill>
              <w14:schemeClr w14:val="tx1"/>
            </w14:solidFill>
          </w14:textFill>
        </w:rPr>
        <w:t>的提供优质商品的能力，具有良好的售后服务。</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30"/>
          <w:szCs w:val="30"/>
          <w14:textFill>
            <w14:solidFill>
              <w14:schemeClr w14:val="tx1"/>
            </w14:solidFill>
          </w14:textFill>
        </w:rPr>
        <w:t>具有合法有效营业执照、税务登记证、组织机构代码证(或三证合一)的独立法人。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30"/>
          <w:szCs w:val="30"/>
          <w14:textFill>
            <w14:solidFill>
              <w14:schemeClr w14:val="tx1"/>
            </w14:solidFill>
          </w14:textFill>
        </w:rPr>
        <w:t>本项目的特定资格要求:</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参与食品类的</w:t>
      </w:r>
      <w:r>
        <w:rPr>
          <w:rFonts w:hint="eastAsia" w:asciiTheme="minorEastAsia" w:hAnsiTheme="minorEastAsia" w:eastAsiaTheme="minorEastAsia" w:cstheme="minorEastAsia"/>
          <w:color w:val="000000" w:themeColor="text1"/>
          <w:sz w:val="30"/>
          <w:szCs w:val="30"/>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sz w:val="30"/>
          <w:szCs w:val="30"/>
          <w14:textFill>
            <w14:solidFill>
              <w14:schemeClr w14:val="tx1"/>
            </w14:solidFill>
          </w14:textFill>
        </w:rPr>
        <w:t>须具有有效期内的《食品流通许可证》或《食品经营许可证》，许可证的食品经营项目范围必须包含竞标的采购项目。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lang w:eastAsia="zh-CN"/>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5.食品类</w:t>
      </w:r>
      <w:r>
        <w:rPr>
          <w:rFonts w:hint="eastAsia" w:asciiTheme="minorEastAsia" w:hAnsiTheme="minorEastAsia" w:eastAsiaTheme="minorEastAsia" w:cstheme="minorEastAsia"/>
          <w:color w:val="000000" w:themeColor="text1"/>
          <w:sz w:val="30"/>
          <w:szCs w:val="30"/>
          <w:lang w:eastAsia="zh-CN"/>
          <w14:textFill>
            <w14:solidFill>
              <w14:schemeClr w14:val="tx1"/>
            </w14:solidFill>
          </w14:textFill>
        </w:rPr>
        <w:t>供应商的</w:t>
      </w:r>
      <w:r>
        <w:rPr>
          <w:rFonts w:hint="eastAsia" w:asciiTheme="minorEastAsia" w:hAnsiTheme="minorEastAsia" w:eastAsiaTheme="minorEastAsia" w:cstheme="minorEastAsia"/>
          <w:color w:val="000000" w:themeColor="text1"/>
          <w:sz w:val="30"/>
          <w:szCs w:val="30"/>
          <w14:textFill>
            <w14:solidFill>
              <w14:schemeClr w14:val="tx1"/>
            </w14:solidFill>
          </w14:textFill>
        </w:rPr>
        <w:t>配送人员需具备有效的健康合格证，未提供或提供不符合要求者作无效标处理。</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30"/>
          <w:szCs w:val="30"/>
          <w14:textFill>
            <w14:solidFill>
              <w14:schemeClr w14:val="tx1"/>
            </w14:solidFill>
          </w14:textFill>
        </w:rPr>
        <w:t>本项目不接受联合体报价，不允许转包、分包。</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Theme="minorEastAsia" w:hAnsiTheme="minorEastAsia" w:eastAsiaTheme="minorEastAsia" w:cstheme="minorEastAsia"/>
          <w:color w:val="000000" w:themeColor="text1"/>
          <w:sz w:val="30"/>
          <w:szCs w:val="30"/>
          <w14:textFill>
            <w14:solidFill>
              <w14:schemeClr w14:val="tx1"/>
            </w14:solidFill>
          </w14:textFill>
        </w:rPr>
      </w:pPr>
    </w:p>
    <w:p>
      <w:pPr>
        <w:widowControl/>
        <w:numPr>
          <w:ilvl w:val="0"/>
          <w:numId w:val="1"/>
        </w:numPr>
        <w:jc w:val="left"/>
        <w:rPr>
          <w:rFonts w:hint="eastAsia"/>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采购报价表</w:t>
      </w:r>
    </w:p>
    <w:tbl>
      <w:tblPr>
        <w:tblStyle w:val="9"/>
        <w:tblpPr w:leftFromText="180" w:rightFromText="180" w:vertAnchor="text" w:horzAnchor="page" w:tblpX="1042" w:tblpY="565"/>
        <w:tblOverlap w:val="never"/>
        <w:tblW w:w="107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1"/>
        <w:gridCol w:w="939"/>
        <w:gridCol w:w="1237"/>
        <w:gridCol w:w="1237"/>
        <w:gridCol w:w="741"/>
        <w:gridCol w:w="741"/>
        <w:gridCol w:w="741"/>
        <w:gridCol w:w="1097"/>
        <w:gridCol w:w="1261"/>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1071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44"/>
                <w:szCs w:val="44"/>
                <w:u w:val="none"/>
                <w:lang w:val="en-US" w:eastAsia="zh-CN" w:bidi="ar"/>
              </w:rPr>
              <w:t>中山大学附属第一医院广西医院</w:t>
            </w:r>
            <w:r>
              <w:rPr>
                <w:rFonts w:hint="eastAsia" w:ascii="宋体" w:hAnsi="宋体" w:eastAsia="宋体" w:cs="宋体"/>
                <w:b/>
                <w:bCs/>
                <w:i w:val="0"/>
                <w:iCs w:val="0"/>
                <w:color w:val="FF0000"/>
                <w:kern w:val="0"/>
                <w:sz w:val="44"/>
                <w:szCs w:val="44"/>
                <w:u w:val="none"/>
                <w:lang w:val="en-US" w:eastAsia="zh-CN" w:bidi="ar"/>
              </w:rPr>
              <w:t>xxxx</w:t>
            </w:r>
            <w:r>
              <w:rPr>
                <w:rFonts w:hint="eastAsia" w:ascii="宋体" w:hAnsi="宋体" w:eastAsia="宋体" w:cs="宋体"/>
                <w:b/>
                <w:bCs/>
                <w:i w:val="0"/>
                <w:iCs w:val="0"/>
                <w:color w:val="000000"/>
                <w:kern w:val="0"/>
                <w:sz w:val="44"/>
                <w:szCs w:val="44"/>
                <w:u w:val="none"/>
                <w:lang w:val="en-US" w:eastAsia="zh-CN" w:bidi="ar"/>
              </w:rPr>
              <w:t>报价表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071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供应商单位名称（加盖公章）：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品目</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产品参数</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控制单价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（克、毫升/元）</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（克、毫升/元）</w:t>
            </w: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（统一）折扣率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717" w:type="dxa"/>
            <w:gridSpan w:val="10"/>
            <w:vMerge w:val="restart"/>
            <w:tcBorders>
              <w:top w:val="nil"/>
              <w:left w:val="nil"/>
              <w:bottom w:val="nil"/>
              <w:right w:val="nil"/>
            </w:tcBorders>
            <w:shd w:val="clear" w:color="auto" w:fill="auto"/>
            <w:vAlign w:val="center"/>
          </w:tcPr>
          <w:p>
            <w:pPr>
              <w:keepNext w:val="0"/>
              <w:keepLines w:val="0"/>
              <w:widowControl/>
              <w:suppressLineNumbers w:val="0"/>
              <w:spacing w:after="280" w:afterAutospacing="0"/>
              <w:jc w:val="left"/>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注：1.报价=控制单价*折扣率</w:t>
            </w:r>
            <w:r>
              <w:rPr>
                <w:rFonts w:hint="eastAsia" w:ascii="宋体" w:hAnsi="宋体" w:eastAsia="宋体" w:cs="宋体"/>
                <w:b/>
                <w:bCs/>
                <w:i w:val="0"/>
                <w:iCs w:val="0"/>
                <w:color w:val="FF0000"/>
                <w:kern w:val="0"/>
                <w:sz w:val="28"/>
                <w:szCs w:val="28"/>
                <w:u w:val="none"/>
                <w:lang w:val="en-US" w:eastAsia="zh-CN" w:bidi="ar"/>
              </w:rPr>
              <w:br w:type="textWrapping"/>
            </w:r>
            <w:r>
              <w:rPr>
                <w:rFonts w:hint="eastAsia" w:ascii="宋体" w:hAnsi="宋体" w:eastAsia="宋体" w:cs="宋体"/>
                <w:b/>
                <w:bCs/>
                <w:i w:val="0"/>
                <w:iCs w:val="0"/>
                <w:color w:val="FF0000"/>
                <w:kern w:val="0"/>
                <w:sz w:val="28"/>
                <w:szCs w:val="28"/>
                <w:u w:val="none"/>
                <w:lang w:val="en-US" w:eastAsia="zh-CN" w:bidi="ar"/>
              </w:rPr>
              <w:t>2.产品报价，需列全采购品目表格（附件2）的所有产品，不列全，则无效，无需进行询价。</w:t>
            </w:r>
            <w:r>
              <w:rPr>
                <w:rFonts w:hint="eastAsia" w:ascii="宋体" w:hAnsi="宋体" w:eastAsia="宋体" w:cs="宋体"/>
                <w:b/>
                <w:bCs/>
                <w:i w:val="0"/>
                <w:iCs w:val="0"/>
                <w:color w:val="FF0000"/>
                <w:kern w:val="0"/>
                <w:sz w:val="28"/>
                <w:szCs w:val="28"/>
                <w:u w:val="none"/>
                <w:lang w:val="en-US" w:eastAsia="zh-CN" w:bidi="ar"/>
              </w:rPr>
              <w:br w:type="textWrapping"/>
            </w:r>
            <w:r>
              <w:rPr>
                <w:rFonts w:hint="eastAsia" w:ascii="宋体" w:hAnsi="宋体" w:eastAsia="宋体" w:cs="宋体"/>
                <w:b/>
                <w:bCs/>
                <w:i w:val="0"/>
                <w:iCs w:val="0"/>
                <w:color w:val="FF0000"/>
                <w:kern w:val="0"/>
                <w:sz w:val="28"/>
                <w:szCs w:val="28"/>
                <w:u w:val="none"/>
                <w:lang w:val="en-US" w:eastAsia="zh-CN" w:bidi="ar"/>
              </w:rPr>
              <w:t>3.报价表中的产品参数：需提供具有检测资质的第三方检测机构出具的检测报告或生产厂家向社会公开的产品彩页等。若不提供，则报价表无效，无需进行询价。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10717" w:type="dxa"/>
            <w:gridSpan w:val="10"/>
            <w:vMerge w:val="continue"/>
            <w:tcBorders>
              <w:top w:val="nil"/>
              <w:left w:val="nil"/>
              <w:bottom w:val="nil"/>
              <w:right w:val="nil"/>
            </w:tcBorders>
            <w:shd w:val="clear" w:color="auto" w:fill="auto"/>
            <w:vAlign w:val="center"/>
          </w:tcPr>
          <w:p>
            <w:pPr>
              <w:jc w:val="left"/>
              <w:rPr>
                <w:rFonts w:hint="eastAsia" w:ascii="宋体" w:hAnsi="宋体" w:eastAsia="宋体" w:cs="宋体"/>
                <w:b/>
                <w:bCs/>
                <w:i w:val="0"/>
                <w:iCs w:val="0"/>
                <w:color w:val="FF0000"/>
                <w:sz w:val="28"/>
                <w:szCs w:val="28"/>
                <w:u w:val="none"/>
              </w:rPr>
            </w:pPr>
          </w:p>
        </w:tc>
      </w:tr>
    </w:tbl>
    <w:p>
      <w:pPr>
        <w:widowControl/>
        <w:numPr>
          <w:ilvl w:val="0"/>
          <w:numId w:val="1"/>
        </w:numPr>
        <w:jc w:val="left"/>
        <w:rPr>
          <w:rFonts w:hint="eastAsia"/>
          <w:b/>
          <w:bCs/>
          <w:color w:val="000000" w:themeColor="text1"/>
          <w:sz w:val="32"/>
          <w:szCs w:val="32"/>
          <w:lang w:val="en-US" w:eastAsia="zh-CN"/>
          <w14:textFill>
            <w14:solidFill>
              <w14:schemeClr w14:val="tx1"/>
            </w14:solidFill>
          </w14:textFill>
        </w:rPr>
      </w:pPr>
      <w:r>
        <w:rPr>
          <w:rFonts w:hint="eastAsia"/>
          <w:b/>
          <w:bCs/>
          <w:color w:val="000000" w:themeColor="text1"/>
          <w:sz w:val="32"/>
          <w:szCs w:val="32"/>
          <w14:textFill>
            <w14:solidFill>
              <w14:schemeClr w14:val="tx1"/>
            </w14:solidFill>
          </w14:textFill>
        </w:rPr>
        <w:t>供应产品的质量</w:t>
      </w:r>
      <w:r>
        <w:rPr>
          <w:rFonts w:hint="eastAsia"/>
          <w:b/>
          <w:bCs/>
          <w:color w:val="000000" w:themeColor="text1"/>
          <w:sz w:val="32"/>
          <w:szCs w:val="32"/>
          <w:lang w:val="en-US" w:eastAsia="zh-CN"/>
          <w14:textFill>
            <w14:solidFill>
              <w14:schemeClr w14:val="tx1"/>
            </w14:solidFill>
          </w14:textFill>
        </w:rPr>
        <w:t>要求</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投标人所供应的产品必须是符合国家或地区的相关食品安全法规和标准，包括但不限于食品生产标准、食品添加剂使用标准等，经过质量监督管理部门检验并取得合格证明的产品。供货时须提供每批次产品国家食品药品监督管理总局特殊医学用途配方食品注册证书、产品标签、说明书。保质期在6个月以内的，送货日至保质期到期日的天数必须大于保质期天数的三分之二；保质期在6个月以上的，送货日至保质期到期日的天数必须大于保质期天数的二分之一。</w:t>
      </w:r>
    </w:p>
    <w:p>
      <w:pPr>
        <w:widowControl/>
        <w:numPr>
          <w:ilvl w:val="0"/>
          <w:numId w:val="1"/>
        </w:numPr>
        <w:jc w:val="left"/>
        <w:rPr>
          <w:rFonts w:hint="eastAsia"/>
          <w:b/>
          <w:bCs/>
          <w:color w:val="000000" w:themeColor="text1"/>
          <w:sz w:val="32"/>
          <w:szCs w:val="32"/>
          <w:lang w:val="en-US"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食品配送便利性及相关配送要求</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中标或成交人每次供应时应向采购人提供加盖公章的货物清单（出库单）和相关票据。</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数量要求：保证配送产品的品种及数量的准确性，以采购人的验收数量为准，每次根据采购人的电话或其他方式通知订购品种、数量后，按时运送物品到指定地点，中标或成交人随货提供注明货物名称、单位、数量、售价及总金额的商品送货清单，中标或成交人每次随货送上一式三份的送货清单，供双方验货后签字确认，中标或成交人持一份，采购人持二份，作为送、收货的凭证。</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运输要求：中标或成交人要有不少于1辆自有车辆保障采购人的货物运输，运输工具应清洁卫生无污染，食品运输需采用符合卫生标准的外包装和运载工具，并且要保持清洁和定期消毒。运输车厢的内舱，包括地面、墙面和顶，应使用抗腐蚀、防潮，易清洁消毒的材料。车厢内无不良气味、异味；运输途中严防日晒、雨淋，注意通风散热。</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中标或成交人所报的货品价格均包含了货物、包装、运输、保险、税费及其他所有相关服务费用，中标或成交人不得以开具发票等手续为由再向采购人申请款项。</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最终提供货品品类和数量以采购人提前通知为准。采购人有权对供货清单（含货品品类、数量等）做适当修改调整。</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除不可抗力，不得因其他任何理由延迟送货。采购人如遇特殊情况需推迟送货，应提前通知中标或成交人。因中标或成交人原因延误交货时间的（采购人要求推迟的除外），采购人有权自行采购，并由中标或成交人承担由此产生的一切损失和费用。</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中标或成交人不得变更供货清单，应严格按采购文件要求（含商标、名称、产地、规格和重量等）供应，否则采购人有权拒收。如因市场流通问题确实需要变更的，应书面向采购人申请。</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采购人按采购协议规定的质量标准、采购清单上的品类及数量等对每次到货的产品进行严格的验收，中标或成交人未能履行采购文件和合同所定事项，或供应不合格的、假冒伪劣、以次充好或保质期不足的货品，采购人有权拒绝接受所提供的物品或食品，给予中标或成交人书面警告并记录在案，中标或成交人无条件收回所供应的食品并给予采购人书面答复说明原因，造成的一切损失和费用由中标或成交人负责，并在1小时内更换合格货品。产品不合格超过3次的，采购人有权取消供货资格，终止合同。</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中标或成交人在合同履行期间内保证对采购人的货物供应，在供应的产品出现明显问题时，采购人有权对所供货物进行抽检，并交予有资质的检测机构进行检测（检测费用由中标或成交人承担）。</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中标或成交人在供应过程中，如果发生出现质量问题或造成食物中毒，如变质等情况，经查实后确属供应方责任，中标或成交人应承担全部责任，主要包括食物中毒人员医疗费、误工费、事故处理费等，直至追究刑事责任。</w:t>
      </w:r>
    </w:p>
    <w:p>
      <w:pPr>
        <w:widowControl/>
        <w:numPr>
          <w:ilvl w:val="0"/>
          <w:numId w:val="1"/>
        </w:numPr>
        <w:jc w:val="left"/>
        <w:rPr>
          <w:rFonts w:hint="eastAsia"/>
          <w:b/>
          <w:bCs/>
          <w:color w:val="000000" w:themeColor="text1"/>
          <w:sz w:val="32"/>
          <w:szCs w:val="32"/>
          <w:lang w:val="en-US"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定价、结算方式</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1.定价方式</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1.1按（控制单价</w:t>
      </w:r>
      <w:r>
        <w:rPr>
          <w:rFonts w:hint="default" w:ascii="Arial" w:hAnsi="Arial" w:eastAsia="宋体" w:cs="Arial"/>
          <w:color w:val="auto"/>
          <w:kern w:val="0"/>
          <w:sz w:val="30"/>
          <w:szCs w:val="30"/>
          <w:lang w:val="en-US" w:eastAsia="zh-CN"/>
        </w:rPr>
        <w:t>×</w:t>
      </w:r>
      <w:r>
        <w:rPr>
          <w:rFonts w:hint="eastAsia" w:ascii="宋体" w:hAnsi="宋体" w:eastAsia="宋体" w:cs="宋体"/>
          <w:color w:val="auto"/>
          <w:kern w:val="0"/>
          <w:sz w:val="30"/>
          <w:szCs w:val="30"/>
          <w:lang w:val="en-US" w:eastAsia="zh-CN"/>
        </w:rPr>
        <w:t>折扣率）进行报价，折扣率为：</w:t>
      </w:r>
      <w:r>
        <w:rPr>
          <w:rFonts w:hint="eastAsia" w:ascii="宋体" w:hAnsi="宋体" w:eastAsia="宋体" w:cs="宋体"/>
          <w:color w:val="auto"/>
          <w:kern w:val="0"/>
          <w:sz w:val="30"/>
          <w:szCs w:val="30"/>
          <w:u w:val="single"/>
          <w:lang w:val="en-US" w:eastAsia="zh-CN"/>
        </w:rPr>
        <w:t xml:space="preserve">       </w:t>
      </w:r>
      <w:r>
        <w:rPr>
          <w:rFonts w:hint="eastAsia" w:ascii="宋体" w:hAnsi="宋体" w:eastAsia="宋体" w:cs="宋体"/>
          <w:color w:val="auto"/>
          <w:kern w:val="0"/>
          <w:sz w:val="30"/>
          <w:szCs w:val="30"/>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1.2投标报价结合市场价、原材料成本及中标或成交人自身条件、市场风险等因素考虑报出统一折扣率。实际采购价格=控制单价×折扣率，该结算折扣率在合同服务期内不得改变。</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1.3报价必须含以下部分：</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1.3.1货物、服务费用；</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1.3.2报价需包含必要的保险费用和各项税金费用；</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1.3.3报价需包含购置、检验、粗加工、分拣、包装、运输、仓储、装卸、配送、搬运、深加工、检验检测、售后服务、雇员费用、管理费等合同履行过程中的应预见和不可预见的一切费用。</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 xml:space="preserve">2.结算方式： </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r>
        <w:rPr>
          <w:rFonts w:hint="eastAsia" w:ascii="宋体" w:hAnsi="宋体" w:eastAsia="宋体" w:cs="宋体"/>
          <w:color w:val="auto"/>
          <w:kern w:val="0"/>
          <w:sz w:val="30"/>
          <w:szCs w:val="30"/>
          <w:lang w:val="en-US" w:eastAsia="zh-CN"/>
        </w:rPr>
        <w:t>采购人通过本合同列明的公对公账户向中标或成交人转账，采购人对采购品目数量最终以实际购买的经双方验收确认的种类及数量进行结算（按月支付一次）。中标或成交人必须每月15日前向采购人提供详细的物品销售清单，经与采购人的收货凭证核对无误采购人签字确认后，由中标或成交人按当次结算的实收金额出具合法有效的税务发票，采购人收到发票后3个月内一次性付清货款。中标或成交人未开具合法有效的对应金额的发票的，采购人有权不支付相应款项。</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left"/>
        <w:textAlignment w:val="auto"/>
        <w:rPr>
          <w:rFonts w:hint="eastAsia" w:ascii="宋体" w:hAnsi="宋体" w:eastAsia="宋体" w:cs="宋体"/>
          <w:color w:val="auto"/>
          <w:kern w:val="0"/>
          <w:sz w:val="30"/>
          <w:szCs w:val="30"/>
          <w:lang w:val="en-US" w:eastAsia="zh-CN"/>
        </w:rPr>
      </w:pPr>
      <w:bookmarkStart w:id="0" w:name="_GoBack"/>
      <w:bookmarkEnd w:id="0"/>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34290"/>
    <w:multiLevelType w:val="singleLevel"/>
    <w:tmpl w:val="87434290"/>
    <w:lvl w:ilvl="0" w:tentative="0">
      <w:start w:val="1"/>
      <w:numFmt w:val="chineseCounting"/>
      <w:suff w:val="nothing"/>
      <w:lvlText w:val="%1、"/>
      <w:lvlJc w:val="left"/>
      <w:rPr>
        <w:rFonts w:hint="eastAsia"/>
        <w:b/>
        <w:bCs/>
      </w:rPr>
    </w:lvl>
  </w:abstractNum>
  <w:abstractNum w:abstractNumId="1">
    <w:nsid w:val="C5AC9AF3"/>
    <w:multiLevelType w:val="singleLevel"/>
    <w:tmpl w:val="C5AC9AF3"/>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NzFkYTAxZjY1MTk4YTM2YTVhZGFlMWIzMjRhMTgifQ=="/>
  </w:docVars>
  <w:rsids>
    <w:rsidRoot w:val="00172A27"/>
    <w:rsid w:val="00117E0A"/>
    <w:rsid w:val="001C4293"/>
    <w:rsid w:val="001D39DC"/>
    <w:rsid w:val="00307CB3"/>
    <w:rsid w:val="0038179F"/>
    <w:rsid w:val="005B22F0"/>
    <w:rsid w:val="006D5921"/>
    <w:rsid w:val="00807355"/>
    <w:rsid w:val="00B15C34"/>
    <w:rsid w:val="01AD13A6"/>
    <w:rsid w:val="024C0ED1"/>
    <w:rsid w:val="026E54B5"/>
    <w:rsid w:val="028F77BF"/>
    <w:rsid w:val="02A8425B"/>
    <w:rsid w:val="03457E3A"/>
    <w:rsid w:val="035D7E14"/>
    <w:rsid w:val="037203C5"/>
    <w:rsid w:val="055D473D"/>
    <w:rsid w:val="05964920"/>
    <w:rsid w:val="062420FC"/>
    <w:rsid w:val="06CC6E03"/>
    <w:rsid w:val="07283BBC"/>
    <w:rsid w:val="07907F88"/>
    <w:rsid w:val="08370860"/>
    <w:rsid w:val="083F0549"/>
    <w:rsid w:val="090137E3"/>
    <w:rsid w:val="093B532D"/>
    <w:rsid w:val="09B74D83"/>
    <w:rsid w:val="0A316B49"/>
    <w:rsid w:val="0A9C37A0"/>
    <w:rsid w:val="0BEE6537"/>
    <w:rsid w:val="0C0E790E"/>
    <w:rsid w:val="0CBB5DCC"/>
    <w:rsid w:val="0CE045F1"/>
    <w:rsid w:val="0CE67036"/>
    <w:rsid w:val="0CF877F2"/>
    <w:rsid w:val="0D6141AD"/>
    <w:rsid w:val="0E417312"/>
    <w:rsid w:val="0EC51ACA"/>
    <w:rsid w:val="0EDB0618"/>
    <w:rsid w:val="0F421593"/>
    <w:rsid w:val="0F557F39"/>
    <w:rsid w:val="0FD525DB"/>
    <w:rsid w:val="0FF87EA4"/>
    <w:rsid w:val="10D9132C"/>
    <w:rsid w:val="112E1136"/>
    <w:rsid w:val="11F12EFC"/>
    <w:rsid w:val="127778E2"/>
    <w:rsid w:val="12BB04A5"/>
    <w:rsid w:val="14096037"/>
    <w:rsid w:val="142E20E6"/>
    <w:rsid w:val="14E76FAE"/>
    <w:rsid w:val="14E86739"/>
    <w:rsid w:val="1594066F"/>
    <w:rsid w:val="15F5553C"/>
    <w:rsid w:val="161C5FB6"/>
    <w:rsid w:val="169F0975"/>
    <w:rsid w:val="16DA7395"/>
    <w:rsid w:val="176A1687"/>
    <w:rsid w:val="17823D6A"/>
    <w:rsid w:val="17AA0878"/>
    <w:rsid w:val="1982691A"/>
    <w:rsid w:val="19D82769"/>
    <w:rsid w:val="1A827BA2"/>
    <w:rsid w:val="1BEE1031"/>
    <w:rsid w:val="1BF12377"/>
    <w:rsid w:val="1C677C27"/>
    <w:rsid w:val="1C6B65AE"/>
    <w:rsid w:val="1C735482"/>
    <w:rsid w:val="1C755C37"/>
    <w:rsid w:val="1D1F3AD3"/>
    <w:rsid w:val="1E01086B"/>
    <w:rsid w:val="1EAD3FD9"/>
    <w:rsid w:val="1F3832B3"/>
    <w:rsid w:val="20077AC0"/>
    <w:rsid w:val="215A4C76"/>
    <w:rsid w:val="21703D3E"/>
    <w:rsid w:val="2178581B"/>
    <w:rsid w:val="235C7AAA"/>
    <w:rsid w:val="237613B4"/>
    <w:rsid w:val="238916FE"/>
    <w:rsid w:val="242B39C9"/>
    <w:rsid w:val="2477568A"/>
    <w:rsid w:val="24FD1D8D"/>
    <w:rsid w:val="25135385"/>
    <w:rsid w:val="26243349"/>
    <w:rsid w:val="26797B39"/>
    <w:rsid w:val="26C2212C"/>
    <w:rsid w:val="27DD1F14"/>
    <w:rsid w:val="27EC4BE1"/>
    <w:rsid w:val="27F6214E"/>
    <w:rsid w:val="282B4E63"/>
    <w:rsid w:val="2858552C"/>
    <w:rsid w:val="28757DED"/>
    <w:rsid w:val="2A2316E3"/>
    <w:rsid w:val="2A9A583E"/>
    <w:rsid w:val="2AAE03CD"/>
    <w:rsid w:val="2B5624A0"/>
    <w:rsid w:val="2D6E4073"/>
    <w:rsid w:val="2DAE6D94"/>
    <w:rsid w:val="2DF47B6B"/>
    <w:rsid w:val="2EB37960"/>
    <w:rsid w:val="2ED7364E"/>
    <w:rsid w:val="2F105A83"/>
    <w:rsid w:val="2F156FC9"/>
    <w:rsid w:val="2F28641B"/>
    <w:rsid w:val="304940D8"/>
    <w:rsid w:val="30791FBA"/>
    <w:rsid w:val="316E7C65"/>
    <w:rsid w:val="316F5DC0"/>
    <w:rsid w:val="31791B15"/>
    <w:rsid w:val="32363498"/>
    <w:rsid w:val="32C10519"/>
    <w:rsid w:val="331D114F"/>
    <w:rsid w:val="333A0650"/>
    <w:rsid w:val="333F7A14"/>
    <w:rsid w:val="33F961BC"/>
    <w:rsid w:val="33FF7942"/>
    <w:rsid w:val="34D66156"/>
    <w:rsid w:val="35634252"/>
    <w:rsid w:val="36EB413B"/>
    <w:rsid w:val="37FF1A07"/>
    <w:rsid w:val="38C84008"/>
    <w:rsid w:val="38CF529B"/>
    <w:rsid w:val="396C6CA2"/>
    <w:rsid w:val="3A223F8F"/>
    <w:rsid w:val="3A264407"/>
    <w:rsid w:val="3B1741B6"/>
    <w:rsid w:val="3BA42960"/>
    <w:rsid w:val="3C492E82"/>
    <w:rsid w:val="3C596313"/>
    <w:rsid w:val="3CCF664E"/>
    <w:rsid w:val="3D2E2B35"/>
    <w:rsid w:val="3DD46CA3"/>
    <w:rsid w:val="3E6C3E0D"/>
    <w:rsid w:val="3E9055C8"/>
    <w:rsid w:val="3EFB6EE5"/>
    <w:rsid w:val="3F7438C7"/>
    <w:rsid w:val="3FDF3CD8"/>
    <w:rsid w:val="3FE931E1"/>
    <w:rsid w:val="400B3158"/>
    <w:rsid w:val="41354204"/>
    <w:rsid w:val="418C2076"/>
    <w:rsid w:val="42C121F4"/>
    <w:rsid w:val="42CC35D7"/>
    <w:rsid w:val="432A264F"/>
    <w:rsid w:val="433B1FA6"/>
    <w:rsid w:val="440109CE"/>
    <w:rsid w:val="445155B5"/>
    <w:rsid w:val="4462332D"/>
    <w:rsid w:val="451E70F3"/>
    <w:rsid w:val="45D218C2"/>
    <w:rsid w:val="460C2594"/>
    <w:rsid w:val="47176886"/>
    <w:rsid w:val="47993F84"/>
    <w:rsid w:val="47EC1AC1"/>
    <w:rsid w:val="487A0C3B"/>
    <w:rsid w:val="49EA0523"/>
    <w:rsid w:val="4A69564B"/>
    <w:rsid w:val="4A8658D0"/>
    <w:rsid w:val="4C207F8B"/>
    <w:rsid w:val="4C260842"/>
    <w:rsid w:val="4C3677AE"/>
    <w:rsid w:val="4CC4617F"/>
    <w:rsid w:val="4CD945DE"/>
    <w:rsid w:val="4F8D0FE3"/>
    <w:rsid w:val="50135E82"/>
    <w:rsid w:val="51203138"/>
    <w:rsid w:val="51813E0D"/>
    <w:rsid w:val="53E97A13"/>
    <w:rsid w:val="54212E7B"/>
    <w:rsid w:val="543F741C"/>
    <w:rsid w:val="54F40207"/>
    <w:rsid w:val="551A1567"/>
    <w:rsid w:val="553D1BAE"/>
    <w:rsid w:val="55DB23F3"/>
    <w:rsid w:val="56067DC3"/>
    <w:rsid w:val="569412C5"/>
    <w:rsid w:val="57710D42"/>
    <w:rsid w:val="57DE0EF8"/>
    <w:rsid w:val="580A26D9"/>
    <w:rsid w:val="5875165E"/>
    <w:rsid w:val="58BC54DF"/>
    <w:rsid w:val="5919023C"/>
    <w:rsid w:val="5A9F6E67"/>
    <w:rsid w:val="5AD54636"/>
    <w:rsid w:val="5B0942E0"/>
    <w:rsid w:val="5BD352CF"/>
    <w:rsid w:val="5BF62AB6"/>
    <w:rsid w:val="5BF843FC"/>
    <w:rsid w:val="5D722734"/>
    <w:rsid w:val="5E0D40E7"/>
    <w:rsid w:val="5F050AA1"/>
    <w:rsid w:val="600D6620"/>
    <w:rsid w:val="601E438A"/>
    <w:rsid w:val="602C1022"/>
    <w:rsid w:val="60932FCA"/>
    <w:rsid w:val="61005C78"/>
    <w:rsid w:val="614B0E20"/>
    <w:rsid w:val="617F52FC"/>
    <w:rsid w:val="629875E2"/>
    <w:rsid w:val="63E917A2"/>
    <w:rsid w:val="63F7410E"/>
    <w:rsid w:val="6659436D"/>
    <w:rsid w:val="6679056C"/>
    <w:rsid w:val="66A7289B"/>
    <w:rsid w:val="68DD3F42"/>
    <w:rsid w:val="69450BD9"/>
    <w:rsid w:val="69AC068B"/>
    <w:rsid w:val="69C63541"/>
    <w:rsid w:val="69D27BC2"/>
    <w:rsid w:val="6BD140AB"/>
    <w:rsid w:val="6C682D82"/>
    <w:rsid w:val="6CC56697"/>
    <w:rsid w:val="6D003795"/>
    <w:rsid w:val="6E6746DB"/>
    <w:rsid w:val="6E775895"/>
    <w:rsid w:val="6EB46ECC"/>
    <w:rsid w:val="6FB652BF"/>
    <w:rsid w:val="6FDB5DF3"/>
    <w:rsid w:val="706A7177"/>
    <w:rsid w:val="70D32893"/>
    <w:rsid w:val="70D63784"/>
    <w:rsid w:val="710C022E"/>
    <w:rsid w:val="73BF77DA"/>
    <w:rsid w:val="741B0EB4"/>
    <w:rsid w:val="74F13343"/>
    <w:rsid w:val="75385A96"/>
    <w:rsid w:val="75B01174"/>
    <w:rsid w:val="76517CAC"/>
    <w:rsid w:val="765379C9"/>
    <w:rsid w:val="766A1C7F"/>
    <w:rsid w:val="769D3E02"/>
    <w:rsid w:val="76B4739E"/>
    <w:rsid w:val="779276DF"/>
    <w:rsid w:val="79236075"/>
    <w:rsid w:val="7A6D289B"/>
    <w:rsid w:val="7A794B87"/>
    <w:rsid w:val="7B7B1AAE"/>
    <w:rsid w:val="7C574A54"/>
    <w:rsid w:val="7CC60AC8"/>
    <w:rsid w:val="7DBA7990"/>
    <w:rsid w:val="7DDA1DE0"/>
    <w:rsid w:val="7DE95B7F"/>
    <w:rsid w:val="7E0057A4"/>
    <w:rsid w:val="7E031E17"/>
    <w:rsid w:val="7E1A14AB"/>
    <w:rsid w:val="7E447259"/>
    <w:rsid w:val="7F3800E4"/>
    <w:rsid w:val="7F633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autoRedefine/>
    <w:qFormat/>
    <w:uiPriority w:val="0"/>
    <w:pPr>
      <w:keepNext/>
      <w:keepLines/>
      <w:spacing w:line="400" w:lineRule="exact"/>
      <w:jc w:val="center"/>
      <w:outlineLvl w:val="1"/>
    </w:pPr>
    <w:rPr>
      <w:rFonts w:ascii="Arial" w:hAnsi="Arial"/>
      <w:b/>
      <w:kern w:val="0"/>
      <w:sz w:val="30"/>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next w:val="1"/>
    <w:autoRedefine/>
    <w:qFormat/>
    <w:uiPriority w:val="0"/>
    <w:pPr>
      <w:ind w:firstLine="420"/>
    </w:pPr>
    <w:rPr>
      <w:kern w:val="0"/>
    </w:rPr>
  </w:style>
  <w:style w:type="paragraph" w:styleId="4">
    <w:name w:val="Body Text"/>
    <w:basedOn w:val="1"/>
    <w:autoRedefine/>
    <w:semiHidden/>
    <w:qFormat/>
    <w:uiPriority w:val="0"/>
    <w:rPr>
      <w:rFonts w:ascii="Arial" w:hAnsi="Arial" w:eastAsia="Arial" w:cs="Arial"/>
      <w:szCs w:val="21"/>
      <w:lang w:eastAsia="en-US"/>
    </w:rPr>
  </w:style>
  <w:style w:type="paragraph" w:styleId="5">
    <w:name w:val="footer"/>
    <w:basedOn w:val="1"/>
    <w:autoRedefine/>
    <w:unhideWhenUsed/>
    <w:qFormat/>
    <w:uiPriority w:val="99"/>
    <w:pPr>
      <w:tabs>
        <w:tab w:val="center" w:pos="4153"/>
        <w:tab w:val="right" w:pos="8306"/>
      </w:tabs>
      <w:snapToGrid w:val="0"/>
      <w:jc w:val="left"/>
    </w:pPr>
    <w:rPr>
      <w:kern w:val="0"/>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99"/>
    <w:pPr>
      <w:widowControl/>
      <w:spacing w:before="100" w:beforeAutospacing="1" w:after="100" w:afterAutospacing="1" w:line="330" w:lineRule="atLeast"/>
      <w:jc w:val="left"/>
    </w:pPr>
    <w:rPr>
      <w:rFonts w:ascii="宋体" w:hAnsi="宋体" w:cs="宋体"/>
      <w:kern w:val="0"/>
      <w:sz w:val="18"/>
      <w:szCs w:val="18"/>
    </w:rPr>
  </w:style>
  <w:style w:type="paragraph" w:styleId="8">
    <w:name w:val="Body Text First Indent"/>
    <w:basedOn w:val="1"/>
    <w:autoRedefine/>
    <w:qFormat/>
    <w:uiPriority w:val="0"/>
    <w:pPr>
      <w:adjustRightInd w:val="0"/>
      <w:snapToGrid w:val="0"/>
      <w:spacing w:after="120" w:line="360" w:lineRule="auto"/>
      <w:ind w:firstLine="420" w:firstLineChars="100"/>
    </w:pPr>
    <w:rPr>
      <w:sz w:val="24"/>
    </w:rPr>
  </w:style>
  <w:style w:type="paragraph" w:customStyle="1" w:styleId="11">
    <w:name w:val="Table Text"/>
    <w:basedOn w:val="1"/>
    <w:autoRedefine/>
    <w:semiHidden/>
    <w:qFormat/>
    <w:uiPriority w:val="0"/>
    <w:rPr>
      <w:rFonts w:ascii="宋体" w:hAnsi="宋体" w:eastAsia="宋体" w:cs="宋体"/>
      <w:szCs w:val="21"/>
      <w:lang w:eastAsia="en-US"/>
    </w:rPr>
  </w:style>
  <w:style w:type="table" w:customStyle="1" w:styleId="12">
    <w:name w:val="Table Normal"/>
    <w:autoRedefine/>
    <w:semiHidden/>
    <w:unhideWhenUsed/>
    <w:qFormat/>
    <w:uiPriority w:val="0"/>
    <w:tblPr>
      <w:tblCellMar>
        <w:top w:w="0" w:type="dxa"/>
        <w:left w:w="0" w:type="dxa"/>
        <w:bottom w:w="0" w:type="dxa"/>
        <w:right w:w="0" w:type="dxa"/>
      </w:tblCellMar>
    </w:tblPr>
  </w:style>
  <w:style w:type="character" w:customStyle="1" w:styleId="13">
    <w:name w:val="font11"/>
    <w:basedOn w:val="10"/>
    <w:autoRedefine/>
    <w:qFormat/>
    <w:uiPriority w:val="0"/>
    <w:rPr>
      <w:rFonts w:hint="eastAsia" w:ascii="仿宋" w:hAnsi="仿宋" w:eastAsia="仿宋" w:cs="仿宋"/>
      <w:color w:val="000000"/>
      <w:sz w:val="32"/>
      <w:szCs w:val="32"/>
      <w:u w:val="none"/>
    </w:rPr>
  </w:style>
  <w:style w:type="character" w:customStyle="1" w:styleId="14">
    <w:name w:val="font31"/>
    <w:basedOn w:val="10"/>
    <w:autoRedefine/>
    <w:qFormat/>
    <w:uiPriority w:val="0"/>
    <w:rPr>
      <w:rFonts w:hint="eastAsia" w:ascii="宋体" w:hAnsi="宋体" w:eastAsia="宋体" w:cs="宋体"/>
      <w:color w:val="C00000"/>
      <w:sz w:val="21"/>
      <w:szCs w:val="21"/>
      <w:u w:val="none"/>
    </w:rPr>
  </w:style>
  <w:style w:type="character" w:customStyle="1" w:styleId="15">
    <w:name w:val="font61"/>
    <w:basedOn w:val="10"/>
    <w:qFormat/>
    <w:uiPriority w:val="0"/>
    <w:rPr>
      <w:rFonts w:hint="eastAsia" w:ascii="宋体" w:hAnsi="宋体" w:eastAsia="宋体" w:cs="宋体"/>
      <w:b/>
      <w:bCs/>
      <w:color w:val="FF0000"/>
      <w:sz w:val="44"/>
      <w:szCs w:val="4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6</Pages>
  <Words>921</Words>
  <Characters>994</Characters>
  <Lines>107</Lines>
  <Paragraphs>30</Paragraphs>
  <TotalTime>0</TotalTime>
  <ScaleCrop>false</ScaleCrop>
  <LinksUpToDate>false</LinksUpToDate>
  <CharactersWithSpaces>995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2024-02-18T13:12:00Z</dcterms:created>
  <dc:creator>τīи9</dc:creator>
  <cp:lastModifiedBy>梁德育</cp:lastModifiedBy>
  <dcterms:modified xsi:type="dcterms:W3CDTF">2024-05-30T06:40:47Z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33185F29A33C4E8CB8BA23D53D1DD215_13</vt:lpwstr>
  </property>
</Properties>
</file>