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F00BD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36"/>
          <w:szCs w:val="36"/>
          <w:highlight w:val="yellow"/>
        </w:rPr>
      </w:pPr>
      <w:r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合理用药监测系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统、临床药学管理系统、合理用药信息支持系统</w:t>
      </w:r>
      <w:r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  <w:t>”项目</w:t>
      </w:r>
      <w:r>
        <w:rPr>
          <w:rFonts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市场调研参数</w:t>
      </w:r>
    </w:p>
    <w:p w14:paraId="7D4FF98B">
      <w:pPr>
        <w:pStyle w:val="7"/>
        <w:widowControl/>
        <w:wordWrap w:val="0"/>
        <w:spacing w:before="312" w:beforeLines="100" w:beforeAutospacing="0" w:afterAutospacing="0"/>
        <w:jc w:val="both"/>
        <w:rPr>
          <w:rFonts w:hint="eastAsia" w:ascii="宋体" w:hAnsi="宋体" w:eastAsia="宋体" w:cs="Calibri"/>
        </w:rPr>
      </w:pPr>
      <w:r>
        <w:rPr>
          <w:rStyle w:val="11"/>
          <w:rFonts w:hint="eastAsia" w:ascii="宋体" w:hAnsi="宋体" w:eastAsia="宋体" w:cs="宋体"/>
          <w:color w:val="000000"/>
          <w:shd w:val="clear" w:color="auto" w:fill="FFFFFF"/>
        </w:rPr>
        <w:t>一、系统业务功能参数</w:t>
      </w:r>
    </w:p>
    <w:tbl>
      <w:tblPr>
        <w:tblStyle w:val="9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1389"/>
        <w:gridCol w:w="6213"/>
      </w:tblGrid>
      <w:tr w14:paraId="7F5E754A"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27E1BB">
            <w:pPr>
              <w:pStyle w:val="7"/>
              <w:widowControl/>
              <w:spacing w:beforeAutospacing="0" w:afterAutospacing="0"/>
              <w:jc w:val="center"/>
              <w:rPr>
                <w:rFonts w:hint="eastAsia" w:ascii="宋体" w:hAnsi="宋体" w:eastAsia="宋体" w:cs="华文仿宋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华文仿宋"/>
                <w:b/>
                <w:bCs/>
                <w:color w:val="000000"/>
              </w:rPr>
              <w:t>序号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1F846D">
            <w:pPr>
              <w:pStyle w:val="7"/>
              <w:widowControl/>
              <w:spacing w:beforeAutospacing="0" w:afterAutospacing="0"/>
              <w:jc w:val="center"/>
              <w:rPr>
                <w:rFonts w:hint="eastAsia" w:ascii="宋体" w:hAnsi="宋体" w:eastAsia="宋体" w:cs="华文仿宋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华文仿宋"/>
                <w:b/>
                <w:bCs/>
                <w:color w:val="000000"/>
              </w:rPr>
              <w:t>功能模块</w:t>
            </w:r>
          </w:p>
        </w:tc>
        <w:tc>
          <w:tcPr>
            <w:tcW w:w="6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AAC993">
            <w:pPr>
              <w:pStyle w:val="7"/>
              <w:widowControl/>
              <w:spacing w:beforeAutospacing="0" w:afterAutospacing="0"/>
              <w:jc w:val="center"/>
              <w:rPr>
                <w:rFonts w:hint="eastAsia" w:ascii="宋体" w:hAnsi="宋体" w:eastAsia="宋体" w:cs="华文仿宋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华文仿宋"/>
                <w:b/>
                <w:bCs/>
                <w:color w:val="000000"/>
              </w:rPr>
              <w:t>参数要求</w:t>
            </w:r>
          </w:p>
        </w:tc>
      </w:tr>
      <w:tr w14:paraId="07E74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DB7E0F">
            <w:pPr>
              <w:pStyle w:val="7"/>
              <w:widowControl/>
              <w:spacing w:beforeAutospacing="0" w:afterAutospacing="0"/>
              <w:jc w:val="center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044AD5">
            <w:pPr>
              <w:pStyle w:val="7"/>
              <w:widowControl/>
              <w:spacing w:beforeAutospacing="0" w:afterAutospacing="0"/>
              <w:jc w:val="center"/>
              <w:rPr>
                <w:rFonts w:hint="eastAsia" w:ascii="宋体" w:hAnsi="宋体" w:eastAsia="宋体" w:cs="华文仿宋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Arial"/>
              </w:rPr>
              <w:t>合理用药监测</w:t>
            </w:r>
            <w:r>
              <w:rPr>
                <w:rFonts w:hint="eastAsia" w:ascii="宋体" w:hAnsi="宋体" w:eastAsia="宋体" w:cs="Arial"/>
                <w:lang w:val="en-US" w:eastAsia="zh-CN"/>
              </w:rPr>
              <w:t>系统</w:t>
            </w:r>
          </w:p>
        </w:tc>
        <w:tc>
          <w:tcPr>
            <w:tcW w:w="6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D18E32">
            <w:pPr>
              <w:pStyle w:val="7"/>
              <w:widowControl/>
              <w:spacing w:beforeAutospacing="0" w:afterAutospacing="0"/>
              <w:jc w:val="both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提供以下审查模块：1.剂量范围审查、2.中药饮片剂量审查、3.药物相互作用审查、4.体外配伍审查、5.配伍浓度审查、6.药物禁忌审查、7.不良反应审查、8.性别用药审查、9.老人用药审查、10.成人用药审查、11.儿童用药审查、12.妊娠用药审查、13.哺乳用药审查、14.药物过敏审查、15.给药途径审查、16.重复用药审查、17.超多日用量审查、18.钾离子监测、19.门诊输液审查、20.TPN审查、21.药物检验值审查、22.检验检查申请单审查、23.累积剂量审查、24.超适应症审查、25.肝损害剂量审查、26.肾损害剂量审查、27.围术期审查、28.越权用药审查、29.细菌耐药率审查、30.规范性审查、31.医保审查、32.监测指标审查、33.药品专项管控</w:t>
            </w:r>
          </w:p>
        </w:tc>
      </w:tr>
      <w:tr w14:paraId="46A3C4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3B69B3">
            <w:pPr>
              <w:pStyle w:val="7"/>
              <w:widowControl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9A1A78">
            <w:pPr>
              <w:pStyle w:val="7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临床药学管理</w:t>
            </w:r>
            <w:r>
              <w:rPr>
                <w:rFonts w:hint="eastAsia" w:ascii="宋体" w:hAnsi="宋体" w:eastAsia="宋体" w:cs="Arial"/>
                <w:szCs w:val="21"/>
                <w:lang w:val="en-US" w:eastAsia="zh-CN"/>
              </w:rPr>
              <w:t>系统</w:t>
            </w:r>
          </w:p>
        </w:tc>
        <w:tc>
          <w:tcPr>
            <w:tcW w:w="6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F00486">
            <w:pPr>
              <w:pStyle w:val="7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提供以下专项点评：</w:t>
            </w:r>
          </w:p>
          <w:p w14:paraId="01BD0F28">
            <w:pPr>
              <w:pStyle w:val="7"/>
              <w:widowControl/>
              <w:spacing w:beforeAutospacing="0" w:afterAutospacing="0"/>
              <w:jc w:val="both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门急诊处方点评、住院病人医嘱点评、门急诊处方专项药品点评、住院病人医嘱专项点评、门急诊抗菌药物处方专项点评、住院病人抗菌药物医嘱点评、门急诊抗肿瘤药物处方专项点评、住院病人抗肿瘤药物专项点评、门急诊中药饮片处方专项点评、住院病人中药饮片处方专项点评、门急诊中成药处方专项点评、门（急）诊基本药物专项点评、围手术期抗菌药物医嘱点评、住院病人碳青霉烯类及替加环素专项点评、住院病人特殊级抗菌药物（万古霉素等）专项点评、住院病人人血白蛋白专项点评、住院病人肠外营养专项点评、住院病人自备药专项点评、出院病人出院带药专项点评、用药排名、住院用药、出院带药医嘱点评、门（急）诊外延处方点评</w:t>
            </w:r>
          </w:p>
          <w:p w14:paraId="3A708F4A">
            <w:pPr>
              <w:pStyle w:val="7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理用药指标、药品使用情况自定义统计、药品使用强度统计、药品消耗情况统计、药品消耗情况趋势分析、药品消耗情况排名统计、药品使用人次统计、药品品种/费用构成统计、门（急）诊大处方情况统计、注射药物使用情况统计、抗菌药物使用情况统计、基本药物使用情况统计、重点监控药物使用情况统计、麻醉/精神药物使用情况统计、国家三级公立医院绩效考核指标、药事管理专业医疗质量控制指标、抗肿瘤药物临床应用情况调查表、医疗机构药品使用监测、全国合理用药监测系统数据统计、全国抗菌药物临床应用管理数据统计、国家卫生健康委抗菌药物临床应用管理</w:t>
            </w:r>
          </w:p>
        </w:tc>
      </w:tr>
      <w:tr w14:paraId="106363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BACA7A">
            <w:pPr>
              <w:pStyle w:val="7"/>
              <w:widowControl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472C60">
            <w:pPr>
              <w:pStyle w:val="7"/>
              <w:widowControl/>
              <w:spacing w:beforeAutospacing="0" w:afterAutospacing="0"/>
              <w:jc w:val="center"/>
              <w:rPr>
                <w:rFonts w:hint="default" w:ascii="宋体" w:hAnsi="宋体" w:eastAsia="宋体" w:cs="华文仿宋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Arial"/>
              </w:rPr>
              <w:t>合理用药</w:t>
            </w:r>
            <w:r>
              <w:rPr>
                <w:rFonts w:hint="eastAsia" w:ascii="宋体" w:hAnsi="宋体" w:eastAsia="宋体" w:cs="Arial"/>
                <w:lang w:val="en-US" w:eastAsia="zh-CN"/>
              </w:rPr>
              <w:t>信息支持系统</w:t>
            </w:r>
          </w:p>
        </w:tc>
        <w:tc>
          <w:tcPr>
            <w:tcW w:w="6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02E927">
            <w:pPr>
              <w:pStyle w:val="7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包括：药品基本信息、药品说明书、药物专论、用药教育、临床路径、检验值、医药法规、医药公式、MCDEX时讯、ATC编码与DDD值、ICD编码、中医药、国家基本药物、妊娠哺乳用药、FDA妊娠分级、FDA药品说明书、EMA药品说明书、超说明书用药、儿童用药</w:t>
            </w:r>
          </w:p>
        </w:tc>
      </w:tr>
    </w:tbl>
    <w:p w14:paraId="7F8CAB94">
      <w:pPr>
        <w:pStyle w:val="7"/>
        <w:widowControl/>
        <w:wordWrap w:val="0"/>
        <w:spacing w:before="312" w:beforeLines="100" w:beforeAutospacing="0" w:afterAutospacing="0"/>
        <w:jc w:val="both"/>
        <w:rPr>
          <w:rFonts w:hint="eastAsia" w:ascii="宋体" w:hAnsi="宋体" w:eastAsia="宋体" w:cs="Calibri"/>
        </w:rPr>
      </w:pPr>
      <w:r>
        <w:rPr>
          <w:rStyle w:val="11"/>
          <w:rFonts w:hint="eastAsia" w:ascii="宋体" w:hAnsi="宋体" w:eastAsia="宋体" w:cs="宋体"/>
          <w:color w:val="000000"/>
          <w:shd w:val="clear" w:color="auto" w:fill="FFFFFF"/>
        </w:rPr>
        <w:t>二、技术要求</w:t>
      </w:r>
    </w:p>
    <w:tbl>
      <w:tblPr>
        <w:tblStyle w:val="9"/>
        <w:tblW w:w="852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7662"/>
      </w:tblGrid>
      <w:tr w14:paraId="3DEACD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22EFB5">
            <w:pPr>
              <w:pStyle w:val="7"/>
              <w:widowControl/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b/>
                <w:bCs/>
                <w:color w:val="000000"/>
              </w:rPr>
            </w:pPr>
            <w:r>
              <w:rPr>
                <w:rStyle w:val="11"/>
                <w:rFonts w:hint="eastAsia" w:ascii="宋体" w:hAnsi="宋体" w:eastAsia="宋体" w:cs="华文仿宋"/>
                <w:bCs/>
                <w:color w:val="000000"/>
              </w:rPr>
              <w:t>序号</w:t>
            </w: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6177A9">
            <w:pPr>
              <w:pStyle w:val="7"/>
              <w:widowControl/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b/>
                <w:bCs/>
                <w:color w:val="000000"/>
              </w:rPr>
            </w:pPr>
            <w:r>
              <w:rPr>
                <w:rStyle w:val="11"/>
                <w:rFonts w:hint="eastAsia" w:ascii="宋体" w:hAnsi="宋体" w:eastAsia="宋体" w:cs="华文仿宋"/>
                <w:bCs/>
                <w:color w:val="000000"/>
              </w:rPr>
              <w:t>要求</w:t>
            </w:r>
          </w:p>
        </w:tc>
      </w:tr>
      <w:tr w14:paraId="1E065D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7B422F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50D4B9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  <w:highlight w:val="yellow"/>
              </w:rPr>
            </w:pPr>
            <w:r>
              <w:rPr>
                <w:rFonts w:hint="eastAsia" w:ascii="宋体" w:hAnsi="宋体" w:eastAsia="宋体" w:cs="华文仿宋"/>
                <w:color w:val="000000"/>
                <w:highlight w:val="none"/>
              </w:rPr>
              <w:t>须提供系统涉及的所有操作系统、数据库、中间件等，并不再收费。</w:t>
            </w:r>
          </w:p>
        </w:tc>
      </w:tr>
      <w:tr w14:paraId="405C5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D3C9B7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39F7C9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须支持主流的</w:t>
            </w:r>
            <w:r>
              <w:rPr>
                <w:rFonts w:ascii="宋体" w:hAnsi="宋体" w:eastAsia="宋体" w:cs="Cambria"/>
                <w:color w:val="000000"/>
              </w:rPr>
              <w:t>WIN7(32</w:t>
            </w:r>
            <w:r>
              <w:rPr>
                <w:rFonts w:hint="eastAsia" w:ascii="宋体" w:hAnsi="宋体" w:eastAsia="宋体" w:cs="华文仿宋"/>
                <w:color w:val="000000"/>
              </w:rPr>
              <w:t>位及</w:t>
            </w:r>
            <w:r>
              <w:rPr>
                <w:rFonts w:ascii="宋体" w:hAnsi="宋体" w:eastAsia="宋体" w:cs="Cambria"/>
                <w:color w:val="000000"/>
              </w:rPr>
              <w:t>64</w:t>
            </w:r>
            <w:r>
              <w:rPr>
                <w:rFonts w:hint="eastAsia" w:ascii="宋体" w:hAnsi="宋体" w:eastAsia="宋体" w:cs="华文仿宋"/>
                <w:color w:val="000000"/>
              </w:rPr>
              <w:t>位</w:t>
            </w:r>
            <w:r>
              <w:rPr>
                <w:rFonts w:ascii="宋体" w:hAnsi="宋体" w:eastAsia="宋体" w:cs="Cambria"/>
                <w:color w:val="000000"/>
              </w:rPr>
              <w:t>)</w:t>
            </w:r>
            <w:r>
              <w:rPr>
                <w:rFonts w:hint="eastAsia" w:ascii="宋体" w:hAnsi="宋体" w:eastAsia="宋体" w:cs="华文仿宋"/>
                <w:color w:val="000000"/>
              </w:rPr>
              <w:t>、</w:t>
            </w:r>
            <w:r>
              <w:rPr>
                <w:rFonts w:ascii="宋体" w:hAnsi="宋体" w:eastAsia="宋体" w:cs="Cambria"/>
                <w:color w:val="000000"/>
              </w:rPr>
              <w:t>WIN10</w:t>
            </w:r>
            <w:r>
              <w:rPr>
                <w:rFonts w:hint="eastAsia" w:ascii="宋体" w:hAnsi="宋体" w:eastAsia="宋体" w:cs="华文仿宋"/>
                <w:color w:val="000000"/>
              </w:rPr>
              <w:t>、</w:t>
            </w:r>
            <w:r>
              <w:rPr>
                <w:rFonts w:ascii="宋体" w:hAnsi="宋体" w:eastAsia="宋体" w:cs="Cambria"/>
                <w:color w:val="000000"/>
              </w:rPr>
              <w:t>WIN11</w:t>
            </w:r>
            <w:r>
              <w:rPr>
                <w:rFonts w:hint="eastAsia" w:ascii="宋体" w:hAnsi="宋体" w:eastAsia="宋体" w:cs="华文仿宋"/>
                <w:color w:val="000000"/>
              </w:rPr>
              <w:t>以及安卓、鸿蒙、</w:t>
            </w:r>
            <w:r>
              <w:rPr>
                <w:rFonts w:ascii="宋体" w:hAnsi="宋体" w:eastAsia="宋体" w:cs="Cambria"/>
                <w:color w:val="000000"/>
              </w:rPr>
              <w:t>iOS</w:t>
            </w:r>
            <w:r>
              <w:rPr>
                <w:rFonts w:hint="eastAsia" w:ascii="宋体" w:hAnsi="宋体" w:eastAsia="宋体" w:cs="华文仿宋"/>
                <w:color w:val="000000"/>
              </w:rPr>
              <w:t>等操作系统。</w:t>
            </w:r>
          </w:p>
        </w:tc>
      </w:tr>
      <w:tr w14:paraId="152981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7522AF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64C20D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满足“医院信息互联互通评价指标体系”五级乙等标准的其他要求。</w:t>
            </w:r>
          </w:p>
        </w:tc>
      </w:tr>
      <w:tr w14:paraId="6DA6E3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E9F46B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DE6C3E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  <w:highlight w:val="none"/>
              </w:rPr>
              <w:t>按照医院要求，能实现与医院其他信息系统，包含但不限于</w:t>
            </w:r>
            <w:r>
              <w:rPr>
                <w:rFonts w:ascii="宋体" w:hAnsi="宋体" w:eastAsia="宋体" w:cs="Cambria"/>
                <w:color w:val="000000"/>
                <w:highlight w:val="none"/>
              </w:rPr>
              <w:t>HIS</w:t>
            </w:r>
            <w:r>
              <w:rPr>
                <w:rFonts w:hint="eastAsia" w:ascii="宋体" w:hAnsi="宋体" w:eastAsia="宋体" w:cs="Cambria"/>
                <w:color w:val="000000"/>
                <w:highlight w:val="none"/>
              </w:rPr>
              <w:t>/EMR</w:t>
            </w:r>
            <w:r>
              <w:rPr>
                <w:rFonts w:hint="eastAsia" w:ascii="宋体" w:hAnsi="宋体" w:eastAsia="宋体" w:cs="华文仿宋"/>
                <w:color w:val="000000"/>
                <w:highlight w:val="none"/>
              </w:rPr>
              <w:t>系统、数据集成平台、</w:t>
            </w:r>
            <w:r>
              <w:rPr>
                <w:rFonts w:ascii="宋体" w:hAnsi="宋体" w:eastAsia="宋体" w:cs="Cambria"/>
                <w:color w:val="000000"/>
                <w:highlight w:val="none"/>
              </w:rPr>
              <w:t>CA</w:t>
            </w:r>
            <w:r>
              <w:rPr>
                <w:rFonts w:hint="eastAsia" w:ascii="宋体" w:hAnsi="宋体" w:eastAsia="宋体" w:cs="华文仿宋"/>
                <w:color w:val="000000"/>
                <w:highlight w:val="none"/>
              </w:rPr>
              <w:t>数字证书、互联网医院、检验、检查、移动护理等系统的互联互通、数据共享；</w:t>
            </w:r>
          </w:p>
        </w:tc>
      </w:tr>
      <w:tr w14:paraId="5AFBFE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F48222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AA856C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  <w:highlight w:val="yellow"/>
              </w:rPr>
            </w:pPr>
            <w:r>
              <w:rPr>
                <w:rFonts w:hint="eastAsia" w:ascii="宋体" w:hAnsi="宋体" w:eastAsia="宋体" w:cs="华文仿宋"/>
                <w:color w:val="000000"/>
                <w:highlight w:val="none"/>
              </w:rPr>
              <w:t>系统基础数据使用医院信息集成平台主索引数据，保证医院信息系统基础数据的统一性；</w:t>
            </w:r>
          </w:p>
        </w:tc>
      </w:tr>
      <w:tr w14:paraId="7E290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93C9B6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127CE5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中标后提供医院所需数据库表结构及详细说明文档。</w:t>
            </w:r>
          </w:p>
        </w:tc>
      </w:tr>
      <w:tr w14:paraId="00362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1F38BB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9DF1A0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保证数据的开放性，</w:t>
            </w:r>
            <w:r>
              <w:rPr>
                <w:rFonts w:hint="eastAsia" w:ascii="宋体" w:hAnsi="宋体" w:eastAsia="宋体" w:cs="华文仿宋"/>
                <w:color w:val="000000"/>
                <w:highlight w:val="none"/>
              </w:rPr>
              <w:t>如存在加密数据，需提供解密方法。</w:t>
            </w:r>
          </w:p>
        </w:tc>
      </w:tr>
      <w:tr w14:paraId="05717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B773B6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50201C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系统扩展性好，便于二次开发。</w:t>
            </w:r>
          </w:p>
        </w:tc>
      </w:tr>
      <w:tr w14:paraId="514FF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30F0D9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9EDD0C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异常处理机制完善，有清晰明确的报错信息</w:t>
            </w:r>
            <w:r>
              <w:rPr>
                <w:rFonts w:ascii="宋体" w:hAnsi="宋体" w:eastAsia="宋体" w:cs="Cambria"/>
                <w:color w:val="000000"/>
              </w:rPr>
              <w:t>:</w:t>
            </w:r>
            <w:r>
              <w:rPr>
                <w:rFonts w:hint="eastAsia" w:ascii="宋体" w:hAnsi="宋体" w:eastAsia="宋体" w:cs="华文仿宋"/>
                <w:color w:val="000000"/>
              </w:rPr>
              <w:t>有详细的日志记录，便于排查问题。</w:t>
            </w:r>
          </w:p>
        </w:tc>
      </w:tr>
      <w:tr w14:paraId="60A1F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46A9BB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91DC65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系统可配置性高，能通过配置文件完成各种功能、参数的设置。</w:t>
            </w:r>
          </w:p>
        </w:tc>
      </w:tr>
      <w:tr w14:paraId="1B8DC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3723C9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DE50ED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系统运行稳定，业务处理高性能快速响应，界面友好，操作简便。</w:t>
            </w:r>
          </w:p>
        </w:tc>
      </w:tr>
      <w:tr w14:paraId="0CB3F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7A14F4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8A6BFC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系统要有完备的应急预案，保证业务运行的连续性。</w:t>
            </w:r>
          </w:p>
        </w:tc>
      </w:tr>
      <w:tr w14:paraId="737BD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F3CF02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EE5468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提供自动保护功能，当故障发生时自动保护当前所有状态</w:t>
            </w:r>
            <w:r>
              <w:rPr>
                <w:rFonts w:ascii="宋体" w:hAnsi="宋体" w:eastAsia="宋体" w:cs="Cambria"/>
                <w:color w:val="000000"/>
              </w:rPr>
              <w:t>,</w:t>
            </w:r>
            <w:r>
              <w:rPr>
                <w:rFonts w:hint="eastAsia" w:ascii="宋体" w:hAnsi="宋体" w:eastAsia="宋体" w:cs="华文仿宋"/>
                <w:color w:val="000000"/>
              </w:rPr>
              <w:t>保证系统能够进行恢复。</w:t>
            </w:r>
          </w:p>
        </w:tc>
      </w:tr>
      <w:tr w14:paraId="72F3DF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5BE121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3CD5FB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系统权限设定应当遵循最小授权原则。</w:t>
            </w:r>
          </w:p>
        </w:tc>
      </w:tr>
      <w:tr w14:paraId="4F08A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C2B625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4C905E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系统满足访问控制、安全审计、剩余信息保护、软件容错等信息系统安全等级保护</w:t>
            </w:r>
            <w:r>
              <w:rPr>
                <w:rFonts w:ascii="宋体" w:hAnsi="宋体" w:eastAsia="宋体" w:cs="Cambria"/>
                <w:color w:val="000000"/>
              </w:rPr>
              <w:t>(</w:t>
            </w:r>
            <w:r>
              <w:rPr>
                <w:rFonts w:hint="eastAsia" w:ascii="宋体" w:hAnsi="宋体" w:eastAsia="宋体" w:cs="华文仿宋"/>
                <w:color w:val="000000"/>
              </w:rPr>
              <w:t>三级</w:t>
            </w:r>
            <w:r>
              <w:rPr>
                <w:rFonts w:ascii="宋体" w:hAnsi="宋体" w:eastAsia="宋体" w:cs="Cambria"/>
                <w:color w:val="000000"/>
              </w:rPr>
              <w:t>)</w:t>
            </w:r>
            <w:r>
              <w:rPr>
                <w:rFonts w:hint="eastAsia" w:ascii="宋体" w:hAnsi="宋体" w:eastAsia="宋体" w:cs="华文仿宋"/>
                <w:color w:val="000000"/>
              </w:rPr>
              <w:t>的其他规范要求。</w:t>
            </w:r>
          </w:p>
        </w:tc>
      </w:tr>
      <w:tr w14:paraId="273100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C492BC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9D43BC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开放端口。系统支持多机构管理。</w:t>
            </w:r>
          </w:p>
        </w:tc>
      </w:tr>
      <w:tr w14:paraId="386DB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9F7986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50105C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系统涉及的所有数据应具有完善的隐私保护机制，确保数据不泄露，且只能用于本单位的相关业务。</w:t>
            </w:r>
          </w:p>
        </w:tc>
      </w:tr>
      <w:tr w14:paraId="4DDEEB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0B86DD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libri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1C414B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Calibri"/>
                <w:color w:val="000000"/>
                <w:highlight w:val="none"/>
              </w:rPr>
            </w:pPr>
            <w:r>
              <w:rPr>
                <w:rFonts w:hint="eastAsia" w:ascii="宋体" w:hAnsi="宋体" w:eastAsia="宋体" w:cs="华文仿宋"/>
                <w:color w:val="000000"/>
                <w:highlight w:val="none"/>
              </w:rPr>
              <w:t>硬件设备通信速率及稳定性、移动设备的续航能力应满足实际业务要求。</w:t>
            </w:r>
          </w:p>
        </w:tc>
      </w:tr>
      <w:tr w14:paraId="01A607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81B364">
            <w:pPr>
              <w:pStyle w:val="7"/>
              <w:widowControl/>
              <w:numPr>
                <w:ilvl w:val="0"/>
                <w:numId w:val="1"/>
              </w:numPr>
              <w:snapToGrid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Cambria"/>
                <w:color w:val="000000"/>
              </w:rPr>
            </w:pPr>
          </w:p>
        </w:tc>
        <w:tc>
          <w:tcPr>
            <w:tcW w:w="7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11F370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华文仿宋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改造服务及兼容性要求</w:t>
            </w:r>
          </w:p>
          <w:p w14:paraId="60453B33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1.配合采购人进行医院信息互联互通标准化成熟度测评四级甲等评审，评审工作中涉及本项目的，成交供应商需免费按时进行改造或升级。</w:t>
            </w:r>
          </w:p>
          <w:p w14:paraId="74232762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2.配合采购人进行智慧医疗分级评价标准五级评审，评审工作中涉及本项目的,成交供应商需免费按时进行改造或升级。</w:t>
            </w:r>
          </w:p>
          <w:p w14:paraId="3C14DC08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3.配合采购人针对本项目进行信息安全等级保护三级测评，评审工作中涉及本项目的，成交供应商需免费按时进行改造或升级。</w:t>
            </w:r>
          </w:p>
          <w:p w14:paraId="2F4954D1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4.配合采购人进行商用密码应用安全性改造，改造工作中涉及本项目的，成交供应商需免费按时进行改造或升级。</w:t>
            </w:r>
          </w:p>
          <w:p w14:paraId="789B5EA2">
            <w:pPr>
              <w:pStyle w:val="7"/>
              <w:widowControl/>
              <w:snapToGrid w:val="0"/>
              <w:spacing w:beforeAutospacing="0" w:afterAutospacing="0"/>
              <w:rPr>
                <w:rFonts w:hint="eastAsia" w:ascii="宋体" w:hAnsi="宋体" w:eastAsia="宋体" w:cs="华文仿宋"/>
                <w:color w:val="000000"/>
              </w:rPr>
            </w:pPr>
            <w:r>
              <w:rPr>
                <w:rFonts w:hint="eastAsia" w:ascii="宋体" w:hAnsi="宋体" w:eastAsia="宋体" w:cs="华文仿宋"/>
                <w:color w:val="000000"/>
              </w:rPr>
              <w:t>5.要求支持部署在信创服务器，支持信创系统，支持信创数据库，支持国密改造。</w:t>
            </w:r>
          </w:p>
        </w:tc>
      </w:tr>
    </w:tbl>
    <w:p w14:paraId="2A26D599">
      <w:pPr>
        <w:rPr>
          <w:rFonts w:hint="eastAsia" w:ascii="宋体" w:hAnsi="宋体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0A22BB3-ECFB-40F8-8645-AD346E3FE67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AD184B1-CDD3-43C7-9C69-51B645820D8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F5CBDBE-FAD7-4F6D-92F6-7DF6591ABF6D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B83F6F4-3F0C-4FBD-90C1-568D4B2D9D8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7C8A1DDC-388C-4FC4-9981-BD71C1FAFC2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8C7FB7"/>
    <w:multiLevelType w:val="singleLevel"/>
    <w:tmpl w:val="DB8C7FB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9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4377A"/>
    <w:rsid w:val="001B39F9"/>
    <w:rsid w:val="003619AC"/>
    <w:rsid w:val="00432792"/>
    <w:rsid w:val="00500726"/>
    <w:rsid w:val="00534E4A"/>
    <w:rsid w:val="00582B5B"/>
    <w:rsid w:val="005E2B8B"/>
    <w:rsid w:val="0069304D"/>
    <w:rsid w:val="00740484"/>
    <w:rsid w:val="0080324B"/>
    <w:rsid w:val="00820E50"/>
    <w:rsid w:val="00A4781B"/>
    <w:rsid w:val="00A73142"/>
    <w:rsid w:val="00B12093"/>
    <w:rsid w:val="00C42F89"/>
    <w:rsid w:val="00CB396F"/>
    <w:rsid w:val="00D80B2D"/>
    <w:rsid w:val="00DE5013"/>
    <w:rsid w:val="00F46F5D"/>
    <w:rsid w:val="00FB1746"/>
    <w:rsid w:val="00FC7CCA"/>
    <w:rsid w:val="016C0FA1"/>
    <w:rsid w:val="0192652E"/>
    <w:rsid w:val="02555ED9"/>
    <w:rsid w:val="027A5940"/>
    <w:rsid w:val="0280658A"/>
    <w:rsid w:val="02CE7D99"/>
    <w:rsid w:val="03103BAE"/>
    <w:rsid w:val="0381685A"/>
    <w:rsid w:val="038B1487"/>
    <w:rsid w:val="03D35307"/>
    <w:rsid w:val="04820ADC"/>
    <w:rsid w:val="04C42EA2"/>
    <w:rsid w:val="057B5C57"/>
    <w:rsid w:val="058451F1"/>
    <w:rsid w:val="05CB200E"/>
    <w:rsid w:val="05DF4794"/>
    <w:rsid w:val="06603CA5"/>
    <w:rsid w:val="06E635A4"/>
    <w:rsid w:val="085E53BC"/>
    <w:rsid w:val="08760796"/>
    <w:rsid w:val="08C6368D"/>
    <w:rsid w:val="08CE609D"/>
    <w:rsid w:val="08DF3D36"/>
    <w:rsid w:val="0A23066B"/>
    <w:rsid w:val="0A9D041D"/>
    <w:rsid w:val="0AFC5C31"/>
    <w:rsid w:val="0AFD0EBC"/>
    <w:rsid w:val="0B901D30"/>
    <w:rsid w:val="0CA77331"/>
    <w:rsid w:val="0CE17CCC"/>
    <w:rsid w:val="0D132C19"/>
    <w:rsid w:val="0E567261"/>
    <w:rsid w:val="0ED92450"/>
    <w:rsid w:val="0EDF3AD1"/>
    <w:rsid w:val="0EF56A7A"/>
    <w:rsid w:val="0F580DB7"/>
    <w:rsid w:val="0F6C4862"/>
    <w:rsid w:val="103D7FE3"/>
    <w:rsid w:val="10D51B29"/>
    <w:rsid w:val="127063B5"/>
    <w:rsid w:val="12A6008B"/>
    <w:rsid w:val="12C56763"/>
    <w:rsid w:val="12C80001"/>
    <w:rsid w:val="14BE346A"/>
    <w:rsid w:val="15CF16A7"/>
    <w:rsid w:val="162639BD"/>
    <w:rsid w:val="16AB3EC2"/>
    <w:rsid w:val="16F10F3C"/>
    <w:rsid w:val="17500E49"/>
    <w:rsid w:val="175509CE"/>
    <w:rsid w:val="178C5AA1"/>
    <w:rsid w:val="17D905BB"/>
    <w:rsid w:val="18650063"/>
    <w:rsid w:val="18A21BA7"/>
    <w:rsid w:val="18E37943"/>
    <w:rsid w:val="18F733EE"/>
    <w:rsid w:val="194C7105"/>
    <w:rsid w:val="19D61256"/>
    <w:rsid w:val="1B9211AC"/>
    <w:rsid w:val="1C22263D"/>
    <w:rsid w:val="1D035BF9"/>
    <w:rsid w:val="1E4470D6"/>
    <w:rsid w:val="1ECD0786"/>
    <w:rsid w:val="1F8F25D3"/>
    <w:rsid w:val="1FF95C9E"/>
    <w:rsid w:val="212154AC"/>
    <w:rsid w:val="218477E9"/>
    <w:rsid w:val="222D7E81"/>
    <w:rsid w:val="22B81E40"/>
    <w:rsid w:val="22F8048F"/>
    <w:rsid w:val="23296041"/>
    <w:rsid w:val="2331574F"/>
    <w:rsid w:val="235C6C70"/>
    <w:rsid w:val="23FC5D5D"/>
    <w:rsid w:val="24961D0D"/>
    <w:rsid w:val="25627E42"/>
    <w:rsid w:val="25CE3729"/>
    <w:rsid w:val="26A12BEB"/>
    <w:rsid w:val="26AF355A"/>
    <w:rsid w:val="26F40D3F"/>
    <w:rsid w:val="27C46B92"/>
    <w:rsid w:val="29233D8C"/>
    <w:rsid w:val="292F44DF"/>
    <w:rsid w:val="29C4731D"/>
    <w:rsid w:val="2B2C33CC"/>
    <w:rsid w:val="2BF243D7"/>
    <w:rsid w:val="2DE57862"/>
    <w:rsid w:val="2E6115DE"/>
    <w:rsid w:val="2FAC4ADB"/>
    <w:rsid w:val="2FE16B92"/>
    <w:rsid w:val="311E37B6"/>
    <w:rsid w:val="313C59EB"/>
    <w:rsid w:val="318B24CE"/>
    <w:rsid w:val="322C3CB1"/>
    <w:rsid w:val="32CE6B16"/>
    <w:rsid w:val="33833DA5"/>
    <w:rsid w:val="34F94A95"/>
    <w:rsid w:val="35F01E6E"/>
    <w:rsid w:val="36AE738B"/>
    <w:rsid w:val="37040D59"/>
    <w:rsid w:val="38353194"/>
    <w:rsid w:val="38E50943"/>
    <w:rsid w:val="396401D4"/>
    <w:rsid w:val="398443D3"/>
    <w:rsid w:val="39FF494B"/>
    <w:rsid w:val="3AC0768C"/>
    <w:rsid w:val="3B806E1C"/>
    <w:rsid w:val="3BEE647B"/>
    <w:rsid w:val="3BFD046C"/>
    <w:rsid w:val="3C0D06AF"/>
    <w:rsid w:val="3C4165AB"/>
    <w:rsid w:val="3C5C57A6"/>
    <w:rsid w:val="3D2A703F"/>
    <w:rsid w:val="3D5B544A"/>
    <w:rsid w:val="3ED05B96"/>
    <w:rsid w:val="3FCB2D5B"/>
    <w:rsid w:val="40151FE5"/>
    <w:rsid w:val="40574EBD"/>
    <w:rsid w:val="40D23C76"/>
    <w:rsid w:val="40D53766"/>
    <w:rsid w:val="40E67721"/>
    <w:rsid w:val="40ED6D01"/>
    <w:rsid w:val="410343C1"/>
    <w:rsid w:val="41A73354"/>
    <w:rsid w:val="42DF267A"/>
    <w:rsid w:val="436F7EA2"/>
    <w:rsid w:val="438C0A54"/>
    <w:rsid w:val="442347E8"/>
    <w:rsid w:val="44901E7E"/>
    <w:rsid w:val="45131232"/>
    <w:rsid w:val="459E7BE8"/>
    <w:rsid w:val="45DE130F"/>
    <w:rsid w:val="45F641DB"/>
    <w:rsid w:val="47321912"/>
    <w:rsid w:val="47574ED5"/>
    <w:rsid w:val="48382F58"/>
    <w:rsid w:val="498B5309"/>
    <w:rsid w:val="49F556AA"/>
    <w:rsid w:val="4A544683"/>
    <w:rsid w:val="4B0E1D4E"/>
    <w:rsid w:val="4B561961"/>
    <w:rsid w:val="4C74377A"/>
    <w:rsid w:val="4C8A7AFA"/>
    <w:rsid w:val="4CA30BBC"/>
    <w:rsid w:val="4DA30E74"/>
    <w:rsid w:val="4E50694B"/>
    <w:rsid w:val="4E7B78F8"/>
    <w:rsid w:val="4F1B24A1"/>
    <w:rsid w:val="4F1D6A04"/>
    <w:rsid w:val="4F2C6C47"/>
    <w:rsid w:val="4FF97471"/>
    <w:rsid w:val="506B7C43"/>
    <w:rsid w:val="50DE6667"/>
    <w:rsid w:val="51087240"/>
    <w:rsid w:val="51273B6A"/>
    <w:rsid w:val="5144296E"/>
    <w:rsid w:val="53400F13"/>
    <w:rsid w:val="534C3D5B"/>
    <w:rsid w:val="537D3F15"/>
    <w:rsid w:val="538C05FC"/>
    <w:rsid w:val="542B7F75"/>
    <w:rsid w:val="54AF24DF"/>
    <w:rsid w:val="550D3076"/>
    <w:rsid w:val="55A605EB"/>
    <w:rsid w:val="55D818D6"/>
    <w:rsid w:val="573945F7"/>
    <w:rsid w:val="578C59FF"/>
    <w:rsid w:val="57901D9D"/>
    <w:rsid w:val="579B0E0D"/>
    <w:rsid w:val="57E00F16"/>
    <w:rsid w:val="58666421"/>
    <w:rsid w:val="58E3481A"/>
    <w:rsid w:val="597436C4"/>
    <w:rsid w:val="598C3104"/>
    <w:rsid w:val="59AD4E28"/>
    <w:rsid w:val="5A186745"/>
    <w:rsid w:val="5A7B0A82"/>
    <w:rsid w:val="5B38718A"/>
    <w:rsid w:val="5C89392A"/>
    <w:rsid w:val="5D814602"/>
    <w:rsid w:val="5DAD0D8E"/>
    <w:rsid w:val="5E331DA0"/>
    <w:rsid w:val="5E5E4943"/>
    <w:rsid w:val="5FB6247D"/>
    <w:rsid w:val="60B46A9C"/>
    <w:rsid w:val="60E92BEA"/>
    <w:rsid w:val="6103230E"/>
    <w:rsid w:val="614A1269"/>
    <w:rsid w:val="61A21E16"/>
    <w:rsid w:val="6267026A"/>
    <w:rsid w:val="62D160BE"/>
    <w:rsid w:val="63B75221"/>
    <w:rsid w:val="640D6BEF"/>
    <w:rsid w:val="64872E45"/>
    <w:rsid w:val="658A76AA"/>
    <w:rsid w:val="6644245E"/>
    <w:rsid w:val="66862C89"/>
    <w:rsid w:val="677156E7"/>
    <w:rsid w:val="67DF4AD0"/>
    <w:rsid w:val="6809591F"/>
    <w:rsid w:val="682D4F2F"/>
    <w:rsid w:val="68572B2F"/>
    <w:rsid w:val="69180510"/>
    <w:rsid w:val="69AA3132"/>
    <w:rsid w:val="69EF1AC8"/>
    <w:rsid w:val="6A9736B6"/>
    <w:rsid w:val="6AA00214"/>
    <w:rsid w:val="6ADF0BB9"/>
    <w:rsid w:val="6B2A277C"/>
    <w:rsid w:val="6B80414A"/>
    <w:rsid w:val="6D064B23"/>
    <w:rsid w:val="6D6F26C8"/>
    <w:rsid w:val="6D803120"/>
    <w:rsid w:val="6DB63E53"/>
    <w:rsid w:val="6EBA7973"/>
    <w:rsid w:val="6FD809F9"/>
    <w:rsid w:val="707D6EAA"/>
    <w:rsid w:val="70861C0E"/>
    <w:rsid w:val="713E7A0B"/>
    <w:rsid w:val="71793B16"/>
    <w:rsid w:val="71E1214A"/>
    <w:rsid w:val="72B33057"/>
    <w:rsid w:val="735E7467"/>
    <w:rsid w:val="73DD0B92"/>
    <w:rsid w:val="74DF1EE2"/>
    <w:rsid w:val="75091655"/>
    <w:rsid w:val="7592164A"/>
    <w:rsid w:val="75D94B83"/>
    <w:rsid w:val="76945B56"/>
    <w:rsid w:val="76D96E05"/>
    <w:rsid w:val="76EA1012"/>
    <w:rsid w:val="772C33D8"/>
    <w:rsid w:val="782F3180"/>
    <w:rsid w:val="790E7239"/>
    <w:rsid w:val="7A5C5D83"/>
    <w:rsid w:val="7AC1208A"/>
    <w:rsid w:val="7ACF29F8"/>
    <w:rsid w:val="7B1C3D58"/>
    <w:rsid w:val="7B7A2964"/>
    <w:rsid w:val="7BAE78E8"/>
    <w:rsid w:val="7C38637B"/>
    <w:rsid w:val="7C4F2043"/>
    <w:rsid w:val="7C7F25A8"/>
    <w:rsid w:val="7D3134F6"/>
    <w:rsid w:val="7D40373A"/>
    <w:rsid w:val="7DCF4ABD"/>
    <w:rsid w:val="7E066731"/>
    <w:rsid w:val="7E206611"/>
    <w:rsid w:val="7E8F4AFE"/>
    <w:rsid w:val="7EA321D2"/>
    <w:rsid w:val="7FA2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4"/>
    <w:basedOn w:val="1"/>
    <w:next w:val="1"/>
    <w:link w:val="1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54A1" w:themeColor="accent1" w:themeShade="BF"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4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4"/>
    <w:next w:val="4"/>
    <w:link w:val="15"/>
    <w:qFormat/>
    <w:uiPriority w:val="0"/>
    <w:rPr>
      <w:b/>
      <w:bCs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4">
    <w:name w:val="批注文字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标题 4 字符"/>
    <w:basedOn w:val="10"/>
    <w:link w:val="3"/>
    <w:semiHidden/>
    <w:qFormat/>
    <w:uiPriority w:val="9"/>
    <w:rPr>
      <w:rFonts w:asciiTheme="minorHAnsi" w:hAnsiTheme="minorHAnsi" w:eastAsiaTheme="minorEastAsia" w:cstheme="majorBidi"/>
      <w:color w:val="2E54A1" w:themeColor="accent1" w:themeShade="BF"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1877</Words>
  <Characters>1982</Characters>
  <Lines>76</Lines>
  <Paragraphs>86</Paragraphs>
  <TotalTime>358</TotalTime>
  <ScaleCrop>false</ScaleCrop>
  <LinksUpToDate>false</LinksUpToDate>
  <CharactersWithSpaces>1982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2026-02-02T07:25:00Z</dcterms:created>
  <dc:creator>正節</dc:creator>
  <cp:lastModifiedBy>医信中心</cp:lastModifiedBy>
  <cp:lastPrinted>2026-07-06T08:05:00Z</cp:lastPrinted>
  <dcterms:modified xsi:type="dcterms:W3CDTF">2026-07-07T01:11:16Z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8CB3DB3844F5410FAC7942C136281F78_13</vt:lpwstr>
  </property>
  <property fmtid="{D5CDD505-2E9C-101B-9397-08002B2CF9AE}" pid="4" name="KSOTemplateDocerSaveRecord">
    <vt:lpwstr>eyJoZGlkIjoiYWE3NGYxYzc2NjRlYTUxYzcwY2IzYjVlODU3YjM0MmUiLCJ1c2VySWQiOiI0NDkzNjAxODIifQ==</vt:lpwstr>
  </property>
</Properties>
</file>