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CAD198">
      <w:pPr>
        <w:jc w:val="center"/>
        <w:rPr>
          <w:b/>
          <w:bCs/>
          <w:sz w:val="24"/>
          <w:szCs w:val="32"/>
        </w:rPr>
      </w:pPr>
    </w:p>
    <w:p w14:paraId="3C3FC289">
      <w:pPr>
        <w:jc w:val="center"/>
        <w:rPr>
          <w:rFonts w:hint="default"/>
          <w:b/>
          <w:bCs/>
          <w:sz w:val="32"/>
          <w:szCs w:val="40"/>
          <w:lang w:val="en-US" w:eastAsia="zh-CN"/>
        </w:rPr>
      </w:pPr>
      <w:r>
        <w:rPr>
          <w:rFonts w:hint="eastAsia"/>
          <w:b/>
          <w:bCs/>
          <w:sz w:val="32"/>
          <w:szCs w:val="40"/>
          <w:lang w:val="en-US" w:eastAsia="zh-CN"/>
        </w:rPr>
        <w:t>项目名称：云灾备租用服务参数</w:t>
      </w:r>
    </w:p>
    <w:tbl>
      <w:tblPr>
        <w:tblStyle w:val="4"/>
        <w:tblW w:w="9132" w:type="dxa"/>
        <w:tblInd w:w="-3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8"/>
        <w:gridCol w:w="780"/>
        <w:gridCol w:w="1008"/>
        <w:gridCol w:w="6036"/>
      </w:tblGrid>
      <w:tr w14:paraId="61554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tcPr>
          <w:p w14:paraId="0C3477F4">
            <w:pPr>
              <w:keepNext w:val="0"/>
              <w:keepLines w:val="0"/>
              <w:pageBreakBefore w:val="0"/>
              <w:kinsoku/>
              <w:wordWrap/>
              <w:overflowPunct/>
              <w:topLinePunct w:val="0"/>
              <w:autoSpaceDE/>
              <w:autoSpaceDN/>
              <w:bidi w:val="0"/>
              <w:adjustRightInd/>
              <w:snapToGrid/>
              <w:spacing w:line="288" w:lineRule="auto"/>
              <w:jc w:val="center"/>
              <w:textAlignment w:val="auto"/>
              <w:rPr>
                <w:rFonts w:hint="default" w:eastAsiaTheme="minorEastAsia"/>
                <w:b/>
                <w:bCs/>
                <w:sz w:val="24"/>
                <w:szCs w:val="32"/>
                <w:vertAlign w:val="baseline"/>
                <w:lang w:val="en-US" w:eastAsia="zh-CN"/>
              </w:rPr>
            </w:pPr>
            <w:r>
              <w:rPr>
                <w:rFonts w:hint="eastAsia"/>
                <w:b/>
                <w:bCs/>
                <w:sz w:val="24"/>
                <w:szCs w:val="32"/>
                <w:vertAlign w:val="baseline"/>
                <w:lang w:val="en-US" w:eastAsia="zh-CN"/>
              </w:rPr>
              <w:t>技术要求名称</w:t>
            </w:r>
          </w:p>
        </w:tc>
        <w:tc>
          <w:tcPr>
            <w:tcW w:w="780" w:type="dxa"/>
          </w:tcPr>
          <w:p w14:paraId="1EED4081">
            <w:pPr>
              <w:keepNext w:val="0"/>
              <w:keepLines w:val="0"/>
              <w:pageBreakBefore w:val="0"/>
              <w:kinsoku/>
              <w:wordWrap/>
              <w:overflowPunct/>
              <w:topLinePunct w:val="0"/>
              <w:autoSpaceDE/>
              <w:autoSpaceDN/>
              <w:bidi w:val="0"/>
              <w:adjustRightInd/>
              <w:snapToGrid/>
              <w:spacing w:line="288" w:lineRule="auto"/>
              <w:jc w:val="center"/>
              <w:textAlignment w:val="auto"/>
              <w:rPr>
                <w:rFonts w:hint="eastAsia" w:eastAsiaTheme="minorEastAsia"/>
                <w:b/>
                <w:bCs/>
                <w:sz w:val="24"/>
                <w:szCs w:val="32"/>
                <w:vertAlign w:val="baseline"/>
                <w:lang w:val="en-US" w:eastAsia="zh-CN"/>
              </w:rPr>
            </w:pPr>
            <w:r>
              <w:rPr>
                <w:rFonts w:hint="eastAsia"/>
                <w:b/>
                <w:bCs/>
                <w:sz w:val="24"/>
                <w:szCs w:val="32"/>
                <w:vertAlign w:val="baseline"/>
                <w:lang w:val="en-US" w:eastAsia="zh-CN"/>
              </w:rPr>
              <w:t>序号</w:t>
            </w:r>
          </w:p>
        </w:tc>
        <w:tc>
          <w:tcPr>
            <w:tcW w:w="1008" w:type="dxa"/>
          </w:tcPr>
          <w:p w14:paraId="00E692CF">
            <w:pPr>
              <w:keepNext w:val="0"/>
              <w:keepLines w:val="0"/>
              <w:pageBreakBefore w:val="0"/>
              <w:kinsoku/>
              <w:wordWrap/>
              <w:overflowPunct/>
              <w:topLinePunct w:val="0"/>
              <w:autoSpaceDE/>
              <w:autoSpaceDN/>
              <w:bidi w:val="0"/>
              <w:adjustRightInd/>
              <w:snapToGrid/>
              <w:spacing w:line="288" w:lineRule="auto"/>
              <w:jc w:val="center"/>
              <w:textAlignment w:val="auto"/>
              <w:rPr>
                <w:rFonts w:hint="default" w:eastAsiaTheme="minorEastAsia"/>
                <w:b/>
                <w:bCs/>
                <w:sz w:val="24"/>
                <w:szCs w:val="32"/>
                <w:vertAlign w:val="baseline"/>
                <w:lang w:val="en-US" w:eastAsia="zh-CN"/>
              </w:rPr>
            </w:pPr>
            <w:r>
              <w:rPr>
                <w:rFonts w:hint="eastAsia"/>
                <w:b/>
                <w:bCs/>
                <w:sz w:val="24"/>
                <w:szCs w:val="32"/>
                <w:vertAlign w:val="baseline"/>
                <w:lang w:val="en-US" w:eastAsia="zh-CN"/>
              </w:rPr>
              <w:t>技术指标项</w:t>
            </w:r>
          </w:p>
        </w:tc>
        <w:tc>
          <w:tcPr>
            <w:tcW w:w="6036" w:type="dxa"/>
          </w:tcPr>
          <w:p w14:paraId="4B51C912">
            <w:pPr>
              <w:keepNext w:val="0"/>
              <w:keepLines w:val="0"/>
              <w:pageBreakBefore w:val="0"/>
              <w:kinsoku/>
              <w:wordWrap/>
              <w:overflowPunct/>
              <w:topLinePunct w:val="0"/>
              <w:autoSpaceDE/>
              <w:autoSpaceDN/>
              <w:bidi w:val="0"/>
              <w:adjustRightInd/>
              <w:snapToGrid/>
              <w:spacing w:line="288" w:lineRule="auto"/>
              <w:jc w:val="center"/>
              <w:textAlignment w:val="auto"/>
              <w:rPr>
                <w:rFonts w:hint="default" w:eastAsiaTheme="minorEastAsia"/>
                <w:b/>
                <w:bCs/>
                <w:sz w:val="24"/>
                <w:szCs w:val="32"/>
                <w:vertAlign w:val="baseline"/>
                <w:lang w:val="en-US" w:eastAsia="zh-CN"/>
              </w:rPr>
            </w:pPr>
            <w:r>
              <w:rPr>
                <w:rFonts w:hint="eastAsia"/>
                <w:b/>
                <w:bCs/>
                <w:sz w:val="24"/>
                <w:szCs w:val="32"/>
                <w:vertAlign w:val="baseline"/>
                <w:lang w:val="en-US" w:eastAsia="zh-CN"/>
              </w:rPr>
              <w:t>技术指标要求</w:t>
            </w:r>
          </w:p>
        </w:tc>
      </w:tr>
      <w:tr w14:paraId="6314D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vMerge w:val="restart"/>
          </w:tcPr>
          <w:p w14:paraId="73299D26">
            <w:pPr>
              <w:keepNext w:val="0"/>
              <w:keepLines w:val="0"/>
              <w:pageBreakBefore w:val="0"/>
              <w:kinsoku/>
              <w:wordWrap/>
              <w:overflowPunct/>
              <w:topLinePunct w:val="0"/>
              <w:autoSpaceDE/>
              <w:autoSpaceDN/>
              <w:bidi w:val="0"/>
              <w:adjustRightInd/>
              <w:snapToGrid/>
              <w:spacing w:line="288" w:lineRule="auto"/>
              <w:jc w:val="center"/>
              <w:textAlignment w:val="auto"/>
              <w:rPr>
                <w:vertAlign w:val="baseline"/>
              </w:rPr>
            </w:pPr>
            <w:r>
              <w:rPr>
                <w:rFonts w:hint="eastAsia"/>
                <w:vertAlign w:val="baseline"/>
                <w:lang w:val="en-US" w:eastAsia="zh-CN"/>
              </w:rPr>
              <w:t>云灾备租用服务</w:t>
            </w:r>
            <w:r>
              <w:rPr>
                <w:rFonts w:hint="eastAsia"/>
                <w:vertAlign w:val="baseline"/>
                <w:lang w:val="en-US" w:eastAsia="zh-CN"/>
              </w:rPr>
              <w:t>技术要求</w:t>
            </w:r>
          </w:p>
        </w:tc>
        <w:tc>
          <w:tcPr>
            <w:tcW w:w="780" w:type="dxa"/>
          </w:tcPr>
          <w:p w14:paraId="0D689DF1">
            <w:pPr>
              <w:keepNext w:val="0"/>
              <w:keepLines w:val="0"/>
              <w:pageBreakBefore w:val="0"/>
              <w:kinsoku/>
              <w:wordWrap/>
              <w:overflowPunct/>
              <w:topLinePunct w:val="0"/>
              <w:autoSpaceDE/>
              <w:autoSpaceDN/>
              <w:bidi w:val="0"/>
              <w:adjustRightInd/>
              <w:snapToGrid/>
              <w:spacing w:line="288" w:lineRule="auto"/>
              <w:jc w:val="both"/>
              <w:textAlignment w:val="auto"/>
              <w:rPr>
                <w:rFonts w:hint="eastAsia" w:eastAsiaTheme="minorEastAsia"/>
                <w:vertAlign w:val="baseline"/>
                <w:lang w:val="en-US" w:eastAsia="zh-CN"/>
              </w:rPr>
            </w:pPr>
            <w:r>
              <w:rPr>
                <w:rFonts w:hint="eastAsia"/>
                <w:vertAlign w:val="baseline"/>
                <w:lang w:val="en-US" w:eastAsia="zh-CN"/>
              </w:rPr>
              <w:t>1</w:t>
            </w:r>
          </w:p>
        </w:tc>
        <w:tc>
          <w:tcPr>
            <w:tcW w:w="1008" w:type="dxa"/>
          </w:tcPr>
          <w:p w14:paraId="1CC26AD3">
            <w:pPr>
              <w:keepNext w:val="0"/>
              <w:keepLines w:val="0"/>
              <w:pageBreakBefore w:val="0"/>
              <w:kinsoku/>
              <w:wordWrap/>
              <w:overflowPunct/>
              <w:topLinePunct w:val="0"/>
              <w:autoSpaceDE/>
              <w:autoSpaceDN/>
              <w:bidi w:val="0"/>
              <w:adjustRightInd/>
              <w:snapToGrid/>
              <w:spacing w:line="288" w:lineRule="auto"/>
              <w:jc w:val="both"/>
              <w:textAlignment w:val="auto"/>
              <w:rPr>
                <w:rFonts w:hint="eastAsia" w:eastAsiaTheme="minorEastAsia"/>
                <w:vertAlign w:val="baseline"/>
                <w:lang w:val="en-US" w:eastAsia="zh-CN"/>
              </w:rPr>
            </w:pPr>
            <w:r>
              <w:rPr>
                <w:rFonts w:hint="eastAsia"/>
                <w:vertAlign w:val="baseline"/>
                <w:lang w:val="en-US" w:eastAsia="zh-CN"/>
              </w:rPr>
              <w:t>架构</w:t>
            </w:r>
          </w:p>
        </w:tc>
        <w:tc>
          <w:tcPr>
            <w:tcW w:w="6036" w:type="dxa"/>
          </w:tcPr>
          <w:p w14:paraId="55D24123">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vertAlign w:val="baseline"/>
              </w:rPr>
            </w:pPr>
            <w:r>
              <w:rPr>
                <w:rFonts w:hint="eastAsia" w:ascii="宋体" w:hAnsi="宋体" w:cs="宋体"/>
                <w:color w:val="auto"/>
                <w:lang w:val="en"/>
              </w:rPr>
              <w:t>▲</w:t>
            </w:r>
            <w:r>
              <w:rPr>
                <w:rFonts w:hint="eastAsia" w:ascii="宋体" w:hAnsi="宋体" w:eastAsia="宋体" w:cs="Times New Roman"/>
                <w:lang w:val="en-US" w:bidi="zh-CN"/>
              </w:rPr>
              <w:t>容灾</w:t>
            </w:r>
            <w:r>
              <w:rPr>
                <w:rFonts w:hint="eastAsia" w:ascii="宋体" w:hAnsi="宋体" w:eastAsia="宋体" w:cs="Times New Roman"/>
                <w:lang w:bidi="zh-CN"/>
              </w:rPr>
              <w:t>备份</w:t>
            </w:r>
            <w:r>
              <w:rPr>
                <w:rFonts w:ascii="宋体" w:hAnsi="宋体" w:eastAsia="宋体" w:cs="Times New Roman"/>
                <w:lang w:bidi="zh-CN"/>
              </w:rPr>
              <w:t>系统</w:t>
            </w:r>
            <w:r>
              <w:rPr>
                <w:rFonts w:hint="eastAsia" w:ascii="宋体" w:hAnsi="宋体" w:eastAsia="宋体" w:cs="Times New Roman"/>
                <w:lang w:val="en-US" w:bidi="zh-CN"/>
              </w:rPr>
              <w:t>为</w:t>
            </w:r>
            <w:r>
              <w:rPr>
                <w:rFonts w:ascii="宋体" w:hAnsi="宋体" w:eastAsia="宋体" w:cs="Times New Roman"/>
                <w:lang w:bidi="zh-CN"/>
              </w:rPr>
              <w:t>国内</w:t>
            </w:r>
            <w:r>
              <w:rPr>
                <w:rFonts w:hint="eastAsia" w:ascii="宋体" w:hAnsi="宋体" w:eastAsia="宋体" w:cs="Times New Roman"/>
                <w:lang w:bidi="zh-CN"/>
              </w:rPr>
              <w:t>自主</w:t>
            </w:r>
            <w:r>
              <w:rPr>
                <w:rFonts w:ascii="宋体" w:hAnsi="宋体" w:eastAsia="宋体" w:cs="Times New Roman"/>
                <w:lang w:bidi="zh-CN"/>
              </w:rPr>
              <w:t>品牌，拥有自主知识产权，非OEM</w:t>
            </w:r>
            <w:r>
              <w:rPr>
                <w:rFonts w:hint="eastAsia" w:ascii="宋体" w:hAnsi="宋体" w:eastAsia="宋体" w:cs="Times New Roman"/>
                <w:lang w:bidi="zh-CN"/>
              </w:rPr>
              <w:t>，</w:t>
            </w:r>
            <w:r>
              <w:rPr>
                <w:rFonts w:ascii="宋体" w:hAnsi="宋体" w:eastAsia="宋体" w:cs="Times New Roman"/>
                <w:lang w:val="en-US" w:eastAsia="zh-CN" w:bidi="zh-CN"/>
              </w:rPr>
              <w:t>支持在信创与非信创架构</w:t>
            </w:r>
            <w:r>
              <w:rPr>
                <w:rFonts w:hint="eastAsia" w:ascii="宋体" w:hAnsi="宋体" w:eastAsia="宋体" w:cs="Times New Roman"/>
                <w:lang w:val="en-US" w:eastAsia="zh-CN" w:bidi="zh-CN"/>
              </w:rPr>
              <w:t>下部署。</w:t>
            </w:r>
          </w:p>
        </w:tc>
      </w:tr>
      <w:tr w14:paraId="76F9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vMerge w:val="continue"/>
          </w:tcPr>
          <w:p w14:paraId="69C43742">
            <w:pPr>
              <w:keepNext w:val="0"/>
              <w:keepLines w:val="0"/>
              <w:pageBreakBefore w:val="0"/>
              <w:kinsoku/>
              <w:wordWrap/>
              <w:overflowPunct/>
              <w:topLinePunct w:val="0"/>
              <w:autoSpaceDE/>
              <w:autoSpaceDN/>
              <w:bidi w:val="0"/>
              <w:adjustRightInd/>
              <w:snapToGrid/>
              <w:spacing w:line="288" w:lineRule="auto"/>
              <w:jc w:val="both"/>
              <w:textAlignment w:val="auto"/>
              <w:rPr>
                <w:rFonts w:hint="eastAsia"/>
                <w:vertAlign w:val="baseline"/>
                <w:lang w:val="en-US" w:eastAsia="zh-CN"/>
              </w:rPr>
            </w:pPr>
          </w:p>
        </w:tc>
        <w:tc>
          <w:tcPr>
            <w:tcW w:w="780" w:type="dxa"/>
          </w:tcPr>
          <w:p w14:paraId="6111AB72">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default" w:ascii="宋体" w:hAnsi="宋体" w:eastAsia="宋体" w:cs="Times New Roman"/>
                <w:lang w:val="en-US" w:eastAsia="zh-CN" w:bidi="zh-CN"/>
              </w:rPr>
            </w:pPr>
            <w:r>
              <w:rPr>
                <w:rFonts w:hint="eastAsia" w:ascii="宋体" w:hAnsi="宋体" w:eastAsia="宋体" w:cs="Times New Roman"/>
                <w:lang w:val="en-US" w:eastAsia="zh-CN" w:bidi="zh-CN"/>
              </w:rPr>
              <w:t>2</w:t>
            </w:r>
          </w:p>
        </w:tc>
        <w:tc>
          <w:tcPr>
            <w:tcW w:w="1008" w:type="dxa"/>
          </w:tcPr>
          <w:p w14:paraId="1A8F3C6F">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s="Times New Roman"/>
                <w:lang w:val="en-US" w:eastAsia="zh-CN" w:bidi="zh-CN"/>
              </w:rPr>
            </w:pPr>
            <w:r>
              <w:rPr>
                <w:rFonts w:ascii="宋体" w:hAnsi="宋体" w:eastAsia="宋体" w:cs="Times New Roman"/>
                <w:lang w:val="en-US" w:eastAsia="zh-CN" w:bidi="zh-CN"/>
              </w:rPr>
              <w:t>存储资</w:t>
            </w:r>
            <w:r>
              <w:rPr>
                <w:rFonts w:hint="eastAsia" w:ascii="宋体" w:hAnsi="宋体" w:eastAsia="宋体" w:cs="Times New Roman"/>
                <w:lang w:val="en-US" w:eastAsia="zh-CN" w:bidi="zh-CN"/>
              </w:rPr>
              <w:t>源</w:t>
            </w:r>
          </w:p>
        </w:tc>
        <w:tc>
          <w:tcPr>
            <w:tcW w:w="6036" w:type="dxa"/>
          </w:tcPr>
          <w:p w14:paraId="31737C01">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s="Times New Roman"/>
                <w:lang w:val="en-US" w:bidi="zh-CN"/>
              </w:rPr>
            </w:pPr>
            <w:r>
              <w:rPr>
                <w:rFonts w:hint="eastAsia" w:ascii="宋体" w:hAnsi="宋体" w:eastAsia="宋体" w:cs="Times New Roman"/>
                <w:lang w:val="en-US" w:eastAsia="zh-CN" w:bidi="zh-CN"/>
              </w:rPr>
              <w:t>1、</w:t>
            </w:r>
            <w:r>
              <w:rPr>
                <w:rFonts w:ascii="宋体" w:hAnsi="宋体" w:eastAsia="宋体" w:cs="Times New Roman"/>
                <w:lang w:val="en-US" w:eastAsia="zh-CN" w:bidi="zh-CN"/>
              </w:rPr>
              <w:t>支持容量合计不低于</w:t>
            </w:r>
            <w:r>
              <w:rPr>
                <w:rFonts w:hint="eastAsia" w:ascii="宋体" w:hAnsi="宋体" w:eastAsia="宋体" w:cs="Times New Roman"/>
                <w:lang w:val="en-US" w:eastAsia="zh-CN" w:bidi="zh-CN"/>
              </w:rPr>
              <w:t>64</w:t>
            </w:r>
            <w:r>
              <w:rPr>
                <w:rFonts w:ascii="宋体" w:hAnsi="宋体" w:eastAsia="宋体" w:cs="Times New Roman"/>
                <w:lang w:val="en-US" w:eastAsia="zh-CN" w:bidi="zh-CN"/>
              </w:rPr>
              <w:t>TB</w:t>
            </w:r>
            <w:r>
              <w:rPr>
                <w:rFonts w:hint="eastAsia" w:ascii="宋体" w:hAnsi="宋体" w:eastAsia="宋体" w:cs="Times New Roman"/>
                <w:lang w:val="en-US" w:eastAsia="zh-CN" w:bidi="zh-CN"/>
              </w:rPr>
              <w:t>；</w:t>
            </w:r>
            <w:r>
              <w:rPr>
                <w:rFonts w:hint="eastAsia" w:ascii="宋体" w:hAnsi="宋体" w:eastAsia="宋体" w:cs="Times New Roman"/>
                <w:lang w:val="en-US" w:bidi="zh-CN"/>
              </w:rPr>
              <w:t>资源合计不低于2台设备，单台配置：不低于2颗26核心高速处理器，不低于256GB高速缓存，系统盘不低于2块480GB SSD。</w:t>
            </w:r>
          </w:p>
          <w:p w14:paraId="2DBBEA3D">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s="Times New Roman"/>
                <w:lang w:val="en-US" w:eastAsia="zh-CN" w:bidi="zh-CN"/>
              </w:rPr>
            </w:pPr>
            <w:r>
              <w:rPr>
                <w:rFonts w:hint="eastAsia" w:ascii="宋体" w:hAnsi="宋体" w:eastAsia="宋体"/>
                <w:lang w:val="en-US" w:eastAsia="zh-CN"/>
              </w:rPr>
              <w:t>2、数据存储</w:t>
            </w:r>
            <w:r>
              <w:rPr>
                <w:rFonts w:hint="eastAsia" w:ascii="宋体" w:hAnsi="宋体" w:eastAsia="宋体"/>
              </w:rPr>
              <w:t>支持本地磁盘、对象存储、SAN存储、NAS存储、磁带库等空间用作备份数据的存储</w:t>
            </w:r>
            <w:r>
              <w:rPr>
                <w:rFonts w:hint="eastAsia" w:ascii="宋体" w:hAnsi="宋体" w:eastAsia="宋体"/>
                <w:lang w:eastAsia="zh-CN"/>
              </w:rPr>
              <w:t>；</w:t>
            </w:r>
            <w:r>
              <w:rPr>
                <w:rFonts w:hint="eastAsia" w:ascii="宋体" w:hAnsi="宋体" w:eastAsia="宋体"/>
              </w:rPr>
              <w:t>可根据业务需要将存储空间配置为备份、容灾、归档等用途</w:t>
            </w:r>
            <w:r>
              <w:rPr>
                <w:rFonts w:hint="eastAsia" w:ascii="宋体" w:hAnsi="宋体" w:eastAsia="宋体"/>
                <w:lang w:eastAsia="zh-CN"/>
              </w:rPr>
              <w:t>；</w:t>
            </w:r>
            <w:r>
              <w:rPr>
                <w:rFonts w:hint="eastAsia" w:ascii="宋体" w:hAnsi="宋体" w:eastAsia="宋体"/>
              </w:rPr>
              <w:t>支持按照使用百分比或使用按大小来设置容量告警</w:t>
            </w:r>
            <w:r>
              <w:rPr>
                <w:rFonts w:hint="eastAsia" w:ascii="宋体" w:hAnsi="宋体" w:eastAsia="宋体"/>
                <w:lang w:eastAsia="zh-CN"/>
              </w:rPr>
              <w:t>。</w:t>
            </w:r>
          </w:p>
        </w:tc>
      </w:tr>
      <w:tr w14:paraId="60BBA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vMerge w:val="continue"/>
          </w:tcPr>
          <w:p w14:paraId="059B86E4">
            <w:pPr>
              <w:keepNext w:val="0"/>
              <w:keepLines w:val="0"/>
              <w:pageBreakBefore w:val="0"/>
              <w:kinsoku/>
              <w:wordWrap/>
              <w:overflowPunct/>
              <w:topLinePunct w:val="0"/>
              <w:autoSpaceDE/>
              <w:autoSpaceDN/>
              <w:bidi w:val="0"/>
              <w:adjustRightInd/>
              <w:snapToGrid/>
              <w:spacing w:line="288" w:lineRule="auto"/>
              <w:jc w:val="both"/>
              <w:textAlignment w:val="auto"/>
              <w:rPr>
                <w:vertAlign w:val="baseline"/>
              </w:rPr>
            </w:pPr>
          </w:p>
        </w:tc>
        <w:tc>
          <w:tcPr>
            <w:tcW w:w="780" w:type="dxa"/>
          </w:tcPr>
          <w:p w14:paraId="6535D078">
            <w:pPr>
              <w:keepNext w:val="0"/>
              <w:keepLines w:val="0"/>
              <w:pageBreakBefore w:val="0"/>
              <w:kinsoku/>
              <w:wordWrap/>
              <w:overflowPunct/>
              <w:topLinePunct w:val="0"/>
              <w:autoSpaceDE/>
              <w:autoSpaceDN/>
              <w:bidi w:val="0"/>
              <w:adjustRightInd/>
              <w:snapToGrid/>
              <w:spacing w:line="288" w:lineRule="auto"/>
              <w:jc w:val="both"/>
              <w:textAlignment w:val="auto"/>
              <w:rPr>
                <w:rFonts w:hint="eastAsia" w:eastAsiaTheme="minorEastAsia"/>
                <w:vertAlign w:val="baseline"/>
                <w:lang w:val="en-US" w:eastAsia="zh-CN"/>
              </w:rPr>
            </w:pPr>
            <w:r>
              <w:rPr>
                <w:rFonts w:hint="eastAsia"/>
                <w:vertAlign w:val="baseline"/>
                <w:lang w:val="en-US" w:eastAsia="zh-CN"/>
              </w:rPr>
              <w:t>3</w:t>
            </w:r>
          </w:p>
        </w:tc>
        <w:tc>
          <w:tcPr>
            <w:tcW w:w="1008" w:type="dxa"/>
            <w:vAlign w:val="center"/>
          </w:tcPr>
          <w:p w14:paraId="27A8766C">
            <w:pPr>
              <w:keepNext w:val="0"/>
              <w:keepLines w:val="0"/>
              <w:pageBreakBefore w:val="0"/>
              <w:widowControl/>
              <w:kinsoku/>
              <w:wordWrap/>
              <w:overflowPunct/>
              <w:topLinePunct w:val="0"/>
              <w:autoSpaceDE/>
              <w:autoSpaceDN/>
              <w:bidi w:val="0"/>
              <w:adjustRightInd/>
              <w:snapToGrid/>
              <w:spacing w:line="288" w:lineRule="auto"/>
              <w:jc w:val="center"/>
              <w:textAlignment w:val="auto"/>
              <w:rPr>
                <w:vertAlign w:val="baseline"/>
              </w:rPr>
            </w:pPr>
            <w:r>
              <w:rPr>
                <w:rFonts w:hint="eastAsia" w:ascii="宋体" w:hAnsi="宋体" w:eastAsia="宋体"/>
              </w:rPr>
              <w:t>许可授权</w:t>
            </w:r>
          </w:p>
        </w:tc>
        <w:tc>
          <w:tcPr>
            <w:tcW w:w="6036" w:type="dxa"/>
            <w:vAlign w:val="center"/>
          </w:tcPr>
          <w:p w14:paraId="1C5037DE">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ascii="宋体" w:hAnsi="宋体" w:eastAsia="宋体" w:cs="Times New Roman"/>
                <w:lang w:val="en-US" w:eastAsia="zh-CN" w:bidi="zh-CN"/>
              </w:rPr>
            </w:pPr>
            <w:r>
              <w:rPr>
                <w:rFonts w:hint="eastAsia" w:ascii="宋体" w:hAnsi="宋体" w:cs="宋体"/>
                <w:color w:val="auto"/>
                <w:lang w:val="en"/>
              </w:rPr>
              <w:t>▲</w:t>
            </w:r>
            <w:r>
              <w:rPr>
                <w:rFonts w:ascii="宋体" w:hAnsi="宋体" w:eastAsia="宋体" w:cs="Times New Roman"/>
                <w:lang w:val="en-US" w:eastAsia="zh-CN" w:bidi="zh-CN"/>
              </w:rPr>
              <w:t>备份系统至少满足</w:t>
            </w:r>
            <w:r>
              <w:rPr>
                <w:rFonts w:hint="eastAsia" w:ascii="宋体" w:hAnsi="宋体" w:eastAsia="宋体" w:cs="Times New Roman"/>
                <w:lang w:val="en-US" w:eastAsia="zh-CN" w:bidi="zh-CN"/>
              </w:rPr>
              <w:t>2</w:t>
            </w:r>
            <w:r>
              <w:rPr>
                <w:rFonts w:ascii="宋体" w:hAnsi="宋体" w:eastAsia="宋体" w:cs="Times New Roman"/>
                <w:lang w:val="en-US" w:eastAsia="zh-CN" w:bidi="zh-CN"/>
              </w:rPr>
              <w:t>0TB容量的</w:t>
            </w:r>
            <w:r>
              <w:rPr>
                <w:rFonts w:hint="eastAsia" w:ascii="宋体" w:hAnsi="宋体" w:eastAsia="宋体" w:cs="Times New Roman"/>
                <w:lang w:val="en-US" w:eastAsia="zh-CN" w:bidi="zh-CN"/>
              </w:rPr>
              <w:t>授权，容灾系统</w:t>
            </w:r>
            <w:r>
              <w:rPr>
                <w:rFonts w:ascii="宋体" w:hAnsi="宋体" w:eastAsia="宋体" w:cs="Times New Roman"/>
                <w:lang w:val="en-US" w:eastAsia="zh-CN" w:bidi="zh-CN"/>
              </w:rPr>
              <w:t>至少满足</w:t>
            </w:r>
            <w:r>
              <w:rPr>
                <w:rFonts w:hint="eastAsia" w:ascii="宋体" w:hAnsi="宋体" w:eastAsia="宋体" w:cs="Times New Roman"/>
                <w:lang w:val="en-US" w:eastAsia="zh-CN" w:bidi="zh-CN"/>
              </w:rPr>
              <w:t>2</w:t>
            </w:r>
            <w:r>
              <w:rPr>
                <w:rFonts w:ascii="宋体" w:hAnsi="宋体" w:eastAsia="宋体" w:cs="Times New Roman"/>
                <w:lang w:val="en-US" w:eastAsia="zh-CN" w:bidi="zh-CN"/>
              </w:rPr>
              <w:t>0TB容量的</w:t>
            </w:r>
            <w:r>
              <w:rPr>
                <w:rFonts w:hint="eastAsia" w:ascii="宋体" w:hAnsi="宋体" w:eastAsia="宋体" w:cs="Times New Roman"/>
                <w:lang w:val="en-US" w:eastAsia="zh-CN" w:bidi="zh-CN"/>
              </w:rPr>
              <w:t>授权，同时</w:t>
            </w:r>
            <w:r>
              <w:rPr>
                <w:rFonts w:ascii="宋体" w:hAnsi="宋体" w:eastAsia="宋体" w:cs="Times New Roman"/>
                <w:lang w:val="en-US" w:eastAsia="zh-CN" w:bidi="zh-CN"/>
              </w:rPr>
              <w:t>不限制物理机和虚拟机客户端授权保护</w:t>
            </w:r>
            <w:r>
              <w:rPr>
                <w:rFonts w:hint="eastAsia" w:ascii="宋体" w:hAnsi="宋体" w:eastAsia="宋体" w:cs="Times New Roman"/>
                <w:lang w:val="en-US" w:eastAsia="zh-CN" w:bidi="zh-CN"/>
              </w:rPr>
              <w:t>数量</w:t>
            </w:r>
            <w:r>
              <w:rPr>
                <w:rFonts w:ascii="宋体" w:hAnsi="宋体" w:eastAsia="宋体" w:cs="Times New Roman"/>
                <w:lang w:val="en-US" w:eastAsia="zh-CN" w:bidi="zh-CN"/>
              </w:rPr>
              <w:t>许可，</w:t>
            </w:r>
            <w:r>
              <w:rPr>
                <w:rFonts w:hint="eastAsia" w:ascii="宋体" w:hAnsi="宋体" w:eastAsia="宋体" w:cs="Times New Roman"/>
                <w:lang w:val="en-US" w:eastAsia="zh-CN" w:bidi="zh-CN"/>
              </w:rPr>
              <w:t>扩展容量许可最小单位为1TB容量许可。</w:t>
            </w:r>
          </w:p>
        </w:tc>
      </w:tr>
      <w:tr w14:paraId="63E4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8" w:hRule="atLeast"/>
        </w:trPr>
        <w:tc>
          <w:tcPr>
            <w:tcW w:w="1308" w:type="dxa"/>
            <w:vMerge w:val="continue"/>
          </w:tcPr>
          <w:p w14:paraId="75ADF15B">
            <w:pPr>
              <w:keepNext w:val="0"/>
              <w:keepLines w:val="0"/>
              <w:pageBreakBefore w:val="0"/>
              <w:kinsoku/>
              <w:wordWrap/>
              <w:overflowPunct/>
              <w:topLinePunct w:val="0"/>
              <w:autoSpaceDE/>
              <w:autoSpaceDN/>
              <w:bidi w:val="0"/>
              <w:adjustRightInd/>
              <w:snapToGrid/>
              <w:spacing w:line="288" w:lineRule="auto"/>
              <w:jc w:val="both"/>
              <w:textAlignment w:val="auto"/>
              <w:rPr>
                <w:vertAlign w:val="baseline"/>
              </w:rPr>
            </w:pPr>
          </w:p>
        </w:tc>
        <w:tc>
          <w:tcPr>
            <w:tcW w:w="780" w:type="dxa"/>
          </w:tcPr>
          <w:p w14:paraId="20891D0D">
            <w:pPr>
              <w:keepNext w:val="0"/>
              <w:keepLines w:val="0"/>
              <w:pageBreakBefore w:val="0"/>
              <w:kinsoku/>
              <w:wordWrap/>
              <w:overflowPunct/>
              <w:topLinePunct w:val="0"/>
              <w:autoSpaceDE/>
              <w:autoSpaceDN/>
              <w:bidi w:val="0"/>
              <w:adjustRightInd/>
              <w:snapToGrid/>
              <w:spacing w:line="288" w:lineRule="auto"/>
              <w:jc w:val="both"/>
              <w:textAlignment w:val="auto"/>
              <w:rPr>
                <w:rFonts w:hint="eastAsia" w:eastAsiaTheme="minorEastAsia"/>
                <w:vertAlign w:val="baseline"/>
                <w:lang w:val="en-US" w:eastAsia="zh-CN"/>
              </w:rPr>
            </w:pPr>
            <w:r>
              <w:rPr>
                <w:rFonts w:hint="eastAsia"/>
                <w:vertAlign w:val="baseline"/>
                <w:lang w:val="en-US" w:eastAsia="zh-CN"/>
              </w:rPr>
              <w:t>4</w:t>
            </w:r>
          </w:p>
        </w:tc>
        <w:tc>
          <w:tcPr>
            <w:tcW w:w="1008" w:type="dxa"/>
            <w:vAlign w:val="center"/>
          </w:tcPr>
          <w:p w14:paraId="766C9825">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eastAsia="宋体"/>
                <w:vertAlign w:val="baseline"/>
                <w:lang w:val="en-US" w:eastAsia="zh-CN"/>
              </w:rPr>
            </w:pPr>
            <w:r>
              <w:rPr>
                <w:rFonts w:hint="eastAsia" w:ascii="宋体" w:hAnsi="宋体" w:eastAsia="宋体"/>
              </w:rPr>
              <w:t>管理</w:t>
            </w:r>
            <w:r>
              <w:rPr>
                <w:rFonts w:hint="eastAsia" w:ascii="宋体" w:hAnsi="宋体" w:eastAsia="宋体"/>
                <w:lang w:val="en-US" w:eastAsia="zh-CN"/>
              </w:rPr>
              <w:t>功能</w:t>
            </w:r>
          </w:p>
        </w:tc>
        <w:tc>
          <w:tcPr>
            <w:tcW w:w="6036" w:type="dxa"/>
            <w:vAlign w:val="center"/>
          </w:tcPr>
          <w:p w14:paraId="48803C39">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s="Times New Roman"/>
                <w:lang w:val="en-US" w:eastAsia="zh-CN" w:bidi="zh-CN"/>
              </w:rPr>
            </w:pPr>
            <w:r>
              <w:rPr>
                <w:rFonts w:hint="eastAsia" w:ascii="宋体" w:hAnsi="宋体" w:eastAsia="宋体" w:cs="Times New Roman"/>
                <w:lang w:val="en-US" w:eastAsia="zh-CN" w:bidi="zh-CN"/>
              </w:rPr>
              <w:t>1、</w:t>
            </w:r>
            <w:r>
              <w:rPr>
                <w:rFonts w:hint="eastAsia" w:ascii="宋体" w:hAnsi="宋体" w:cs="宋体"/>
                <w:color w:val="auto"/>
                <w:lang w:val="en"/>
              </w:rPr>
              <w:t>▲</w:t>
            </w:r>
            <w:r>
              <w:rPr>
                <w:rFonts w:hint="eastAsia" w:ascii="宋体" w:hAnsi="宋体" w:eastAsia="宋体" w:cs="Times New Roman"/>
                <w:lang w:val="en-US" w:eastAsia="zh-CN" w:bidi="zh-CN"/>
              </w:rPr>
              <w:t>提供用户权限三权分立以及常规模式，</w:t>
            </w:r>
            <w:r>
              <w:rPr>
                <w:rFonts w:ascii="宋体" w:hAnsi="宋体" w:eastAsia="宋体" w:cs="Times New Roman"/>
                <w:lang w:val="en-US" w:eastAsia="zh-CN" w:bidi="zh-CN"/>
              </w:rPr>
              <w:t>支持创建多</w:t>
            </w:r>
            <w:r>
              <w:rPr>
                <w:rFonts w:hint="eastAsia" w:ascii="宋体" w:hAnsi="宋体" w:eastAsia="宋体" w:cs="Times New Roman"/>
                <w:lang w:val="en-US" w:eastAsia="zh-CN" w:bidi="zh-CN"/>
              </w:rPr>
              <w:t>种</w:t>
            </w:r>
            <w:r>
              <w:rPr>
                <w:rFonts w:ascii="宋体" w:hAnsi="宋体" w:eastAsia="宋体" w:cs="Times New Roman"/>
                <w:lang w:val="en-US" w:eastAsia="zh-CN" w:bidi="zh-CN"/>
              </w:rPr>
              <w:t>用户</w:t>
            </w:r>
            <w:r>
              <w:rPr>
                <w:rFonts w:hint="eastAsia" w:ascii="宋体" w:hAnsi="宋体" w:eastAsia="宋体" w:cs="Times New Roman"/>
                <w:lang w:val="en-US" w:eastAsia="zh-CN" w:bidi="zh-CN"/>
              </w:rPr>
              <w:t>类型，</w:t>
            </w:r>
            <w:r>
              <w:rPr>
                <w:rFonts w:ascii="宋体" w:hAnsi="宋体" w:eastAsia="宋体" w:cs="Times New Roman"/>
                <w:lang w:val="en-US" w:eastAsia="zh-CN" w:bidi="zh-CN"/>
              </w:rPr>
              <w:t>确保</w:t>
            </w:r>
            <w:r>
              <w:rPr>
                <w:rFonts w:hint="eastAsia" w:ascii="宋体" w:hAnsi="宋体" w:eastAsia="宋体" w:cs="Times New Roman"/>
                <w:lang w:val="en-US" w:eastAsia="zh-CN" w:bidi="zh-CN"/>
              </w:rPr>
              <w:t>不同权限的用户只能有相应的访问或操作权限，达到保障系统安全的目的</w:t>
            </w:r>
            <w:r>
              <w:rPr>
                <w:rFonts w:ascii="宋体" w:hAnsi="宋体" w:eastAsia="宋体" w:cs="Times New Roman"/>
                <w:lang w:val="en-US" w:eastAsia="zh-CN" w:bidi="zh-CN"/>
              </w:rPr>
              <w:t>。</w:t>
            </w:r>
            <w:r>
              <w:rPr>
                <w:rFonts w:hint="eastAsia" w:ascii="宋体" w:hAnsi="宋体" w:eastAsia="宋体" w:cs="Times New Roman"/>
                <w:lang w:val="en-US" w:eastAsia="zh-CN" w:bidi="zh-CN"/>
              </w:rPr>
              <w:t xml:space="preserve"> </w:t>
            </w:r>
          </w:p>
          <w:p w14:paraId="2EAE8675">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lang w:val="en-US" w:eastAsia="zh-CN"/>
              </w:rPr>
              <w:t>2、提供强大的控制台管理功能，全中文操作界面及操作手册，可以通过WEB方式，同时管理多台备份设备，易于维护，提供简单的图形化管理，使管理员能够集中管理所有备份设备的操作。</w:t>
            </w:r>
          </w:p>
          <w:p w14:paraId="05E069BE">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s="Segoe UI Symbol"/>
                <w:lang w:bidi="zh-CN"/>
              </w:rPr>
            </w:pPr>
            <w:r>
              <w:rPr>
                <w:rFonts w:hint="eastAsia" w:ascii="宋体" w:hAnsi="宋体" w:eastAsia="宋体" w:cs="Segoe UI Symbol"/>
                <w:lang w:val="en-US" w:bidi="zh-CN"/>
              </w:rPr>
              <w:t>3、</w:t>
            </w:r>
            <w:r>
              <w:rPr>
                <w:rFonts w:hint="eastAsia" w:ascii="宋体" w:hAnsi="宋体" w:eastAsia="宋体" w:cs="Segoe UI Symbol"/>
                <w:lang w:bidi="zh-CN"/>
              </w:rPr>
              <w:t>只有白名单里面的IP可登录管理，保障备份系统的安全。</w:t>
            </w:r>
          </w:p>
          <w:p w14:paraId="2F668061">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default" w:ascii="宋体" w:hAnsi="宋体" w:eastAsia="宋体" w:cs="Segoe UI Symbol"/>
                <w:lang w:val="en-US" w:eastAsia="zh-CN" w:bidi="zh-CN"/>
              </w:rPr>
            </w:pPr>
            <w:r>
              <w:rPr>
                <w:rFonts w:hint="eastAsia" w:ascii="宋体" w:hAnsi="宋体" w:eastAsia="宋体" w:cs="Segoe UI Symbol"/>
                <w:lang w:val="en-US" w:bidi="zh-CN"/>
              </w:rPr>
              <w:t>4、</w:t>
            </w:r>
            <w:r>
              <w:rPr>
                <w:rFonts w:hint="eastAsia" w:ascii="宋体" w:hAnsi="宋体" w:eastAsia="宋体" w:cs="Segoe UI Symbol"/>
                <w:lang w:bidi="zh-CN"/>
              </w:rPr>
              <w:t>提供对作业状态、告警信息、报表管理、日志管理等状态信息的监控和展示，可对相关报表进行导出</w:t>
            </w:r>
          </w:p>
        </w:tc>
      </w:tr>
      <w:tr w14:paraId="696C6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vMerge w:val="continue"/>
          </w:tcPr>
          <w:p w14:paraId="77CADC79">
            <w:pPr>
              <w:keepNext w:val="0"/>
              <w:keepLines w:val="0"/>
              <w:pageBreakBefore w:val="0"/>
              <w:kinsoku/>
              <w:wordWrap/>
              <w:overflowPunct/>
              <w:topLinePunct w:val="0"/>
              <w:autoSpaceDE/>
              <w:autoSpaceDN/>
              <w:bidi w:val="0"/>
              <w:adjustRightInd/>
              <w:snapToGrid/>
              <w:spacing w:line="288" w:lineRule="auto"/>
              <w:jc w:val="both"/>
              <w:textAlignment w:val="auto"/>
              <w:rPr>
                <w:vertAlign w:val="baseline"/>
              </w:rPr>
            </w:pPr>
          </w:p>
        </w:tc>
        <w:tc>
          <w:tcPr>
            <w:tcW w:w="780" w:type="dxa"/>
          </w:tcPr>
          <w:p w14:paraId="1CCCF336">
            <w:pPr>
              <w:keepNext w:val="0"/>
              <w:keepLines w:val="0"/>
              <w:pageBreakBefore w:val="0"/>
              <w:kinsoku/>
              <w:wordWrap/>
              <w:overflowPunct/>
              <w:topLinePunct w:val="0"/>
              <w:autoSpaceDE/>
              <w:autoSpaceDN/>
              <w:bidi w:val="0"/>
              <w:adjustRightInd/>
              <w:snapToGrid/>
              <w:spacing w:line="288" w:lineRule="auto"/>
              <w:jc w:val="both"/>
              <w:textAlignment w:val="auto"/>
              <w:rPr>
                <w:rFonts w:hint="eastAsia" w:eastAsiaTheme="minorEastAsia"/>
                <w:vertAlign w:val="baseline"/>
                <w:lang w:val="en-US" w:eastAsia="zh-CN"/>
              </w:rPr>
            </w:pPr>
            <w:r>
              <w:rPr>
                <w:rFonts w:hint="eastAsia"/>
                <w:vertAlign w:val="baseline"/>
                <w:lang w:val="en-US" w:eastAsia="zh-CN"/>
              </w:rPr>
              <w:t>6</w:t>
            </w:r>
          </w:p>
        </w:tc>
        <w:tc>
          <w:tcPr>
            <w:tcW w:w="1008" w:type="dxa"/>
            <w:vAlign w:val="center"/>
          </w:tcPr>
          <w:p w14:paraId="1FDCE51C">
            <w:pPr>
              <w:keepNext w:val="0"/>
              <w:keepLines w:val="0"/>
              <w:pageBreakBefore w:val="0"/>
              <w:widowControl/>
              <w:kinsoku/>
              <w:wordWrap/>
              <w:overflowPunct/>
              <w:topLinePunct w:val="0"/>
              <w:autoSpaceDE/>
              <w:autoSpaceDN/>
              <w:bidi w:val="0"/>
              <w:adjustRightInd/>
              <w:snapToGrid/>
              <w:spacing w:line="288" w:lineRule="auto"/>
              <w:jc w:val="center"/>
              <w:textAlignment w:val="auto"/>
              <w:rPr>
                <w:vertAlign w:val="baseline"/>
              </w:rPr>
            </w:pPr>
            <w:r>
              <w:rPr>
                <w:rFonts w:hint="eastAsia" w:ascii="宋体" w:hAnsi="宋体" w:eastAsia="宋体"/>
              </w:rPr>
              <w:t>智能客户端</w:t>
            </w:r>
          </w:p>
        </w:tc>
        <w:tc>
          <w:tcPr>
            <w:tcW w:w="6036" w:type="dxa"/>
            <w:vAlign w:val="center"/>
          </w:tcPr>
          <w:p w14:paraId="2B42823C">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cs="宋体"/>
                <w:color w:val="auto"/>
                <w:lang w:val="en"/>
              </w:rPr>
              <w:t>▲</w:t>
            </w:r>
            <w:r>
              <w:rPr>
                <w:rFonts w:hint="eastAsia" w:ascii="宋体" w:hAnsi="宋体" w:eastAsia="宋体"/>
                <w:lang w:val="en-US" w:eastAsia="zh-CN"/>
              </w:rPr>
              <w:t>提供智能代理推送功能，在管理界面上可以智能批量推送客户端至被保护机器上，并进行保护策略的配置</w:t>
            </w:r>
          </w:p>
        </w:tc>
      </w:tr>
      <w:tr w14:paraId="16C9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vMerge w:val="continue"/>
          </w:tcPr>
          <w:p w14:paraId="7B5AFBA0">
            <w:pPr>
              <w:keepNext w:val="0"/>
              <w:keepLines w:val="0"/>
              <w:pageBreakBefore w:val="0"/>
              <w:kinsoku/>
              <w:wordWrap/>
              <w:overflowPunct/>
              <w:topLinePunct w:val="0"/>
              <w:autoSpaceDE/>
              <w:autoSpaceDN/>
              <w:bidi w:val="0"/>
              <w:adjustRightInd/>
              <w:snapToGrid/>
              <w:spacing w:line="288" w:lineRule="auto"/>
              <w:jc w:val="both"/>
              <w:textAlignment w:val="auto"/>
              <w:rPr>
                <w:vertAlign w:val="baseline"/>
              </w:rPr>
            </w:pPr>
          </w:p>
        </w:tc>
        <w:tc>
          <w:tcPr>
            <w:tcW w:w="780" w:type="dxa"/>
          </w:tcPr>
          <w:p w14:paraId="33FDF3A3">
            <w:pPr>
              <w:keepNext w:val="0"/>
              <w:keepLines w:val="0"/>
              <w:pageBreakBefore w:val="0"/>
              <w:kinsoku/>
              <w:wordWrap/>
              <w:overflowPunct/>
              <w:topLinePunct w:val="0"/>
              <w:autoSpaceDE/>
              <w:autoSpaceDN/>
              <w:bidi w:val="0"/>
              <w:adjustRightInd/>
              <w:snapToGrid/>
              <w:spacing w:line="288" w:lineRule="auto"/>
              <w:jc w:val="both"/>
              <w:textAlignment w:val="auto"/>
              <w:rPr>
                <w:rFonts w:hint="eastAsia" w:eastAsiaTheme="minorEastAsia"/>
                <w:vertAlign w:val="baseline"/>
                <w:lang w:val="en-US" w:eastAsia="zh-CN"/>
              </w:rPr>
            </w:pPr>
            <w:r>
              <w:rPr>
                <w:rFonts w:hint="eastAsia"/>
                <w:vertAlign w:val="baseline"/>
                <w:lang w:val="en-US" w:eastAsia="zh-CN"/>
              </w:rPr>
              <w:t>7</w:t>
            </w:r>
          </w:p>
        </w:tc>
        <w:tc>
          <w:tcPr>
            <w:tcW w:w="1008" w:type="dxa"/>
            <w:vAlign w:val="center"/>
          </w:tcPr>
          <w:p w14:paraId="43B185AE">
            <w:pPr>
              <w:keepNext w:val="0"/>
              <w:keepLines w:val="0"/>
              <w:pageBreakBefore w:val="0"/>
              <w:widowControl/>
              <w:kinsoku/>
              <w:wordWrap/>
              <w:overflowPunct/>
              <w:topLinePunct w:val="0"/>
              <w:autoSpaceDE/>
              <w:autoSpaceDN/>
              <w:bidi w:val="0"/>
              <w:adjustRightInd/>
              <w:snapToGrid/>
              <w:spacing w:line="288" w:lineRule="auto"/>
              <w:jc w:val="center"/>
              <w:textAlignment w:val="auto"/>
              <w:rPr>
                <w:vertAlign w:val="baseline"/>
              </w:rPr>
            </w:pPr>
            <w:r>
              <w:rPr>
                <w:rFonts w:hint="eastAsia" w:ascii="宋体" w:hAnsi="宋体" w:eastAsia="宋体"/>
              </w:rPr>
              <w:t>备份策略</w:t>
            </w:r>
          </w:p>
        </w:tc>
        <w:tc>
          <w:tcPr>
            <w:tcW w:w="6036" w:type="dxa"/>
            <w:vAlign w:val="center"/>
          </w:tcPr>
          <w:p w14:paraId="6D84302E">
            <w:pPr>
              <w:keepNext w:val="0"/>
              <w:keepLines w:val="0"/>
              <w:pageBreakBefore w:val="0"/>
              <w:widowControl/>
              <w:numPr>
                <w:ilvl w:val="0"/>
                <w:numId w:val="1"/>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eastAsia="zh-CN"/>
              </w:rPr>
            </w:pPr>
            <w:r>
              <w:rPr>
                <w:rFonts w:hint="eastAsia" w:ascii="宋体" w:hAnsi="宋体" w:eastAsia="宋体"/>
              </w:rPr>
              <w:t>新建备份任务时可对任务名进行设置，可通过客户端名称、客户端IP地址来查找选择数据源</w:t>
            </w:r>
            <w:r>
              <w:rPr>
                <w:rFonts w:hint="eastAsia" w:ascii="宋体" w:hAnsi="宋体" w:eastAsia="宋体"/>
                <w:lang w:eastAsia="zh-CN"/>
              </w:rPr>
              <w:t>；</w:t>
            </w:r>
          </w:p>
          <w:p w14:paraId="7551507D">
            <w:pPr>
              <w:keepNext w:val="0"/>
              <w:keepLines w:val="0"/>
              <w:pageBreakBefore w:val="0"/>
              <w:widowControl/>
              <w:numPr>
                <w:ilvl w:val="0"/>
                <w:numId w:val="1"/>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rPr>
              <w:t>可根据业务需要设置目标存储，可对存储节点、存储池进行配置</w:t>
            </w:r>
            <w:r>
              <w:rPr>
                <w:rFonts w:hint="eastAsia" w:ascii="宋体" w:hAnsi="宋体" w:eastAsia="宋体"/>
                <w:lang w:eastAsia="zh-CN"/>
              </w:rPr>
              <w:t>；</w:t>
            </w:r>
          </w:p>
          <w:p w14:paraId="2C55BBFE">
            <w:pPr>
              <w:keepNext w:val="0"/>
              <w:keepLines w:val="0"/>
              <w:pageBreakBefore w:val="0"/>
              <w:widowControl/>
              <w:numPr>
                <w:ilvl w:val="0"/>
                <w:numId w:val="1"/>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rPr>
              <w:t>可配置时间计划，计划模式可分为周期计划和一次性计划，具备设置完全备份、增量备份、差异备份的能力，可对完全备份、增量备份的间隔周期、开始时间进行配置，其中间隔周期可以按照分钟、小时、天、周、月进行选择</w:t>
            </w:r>
            <w:r>
              <w:rPr>
                <w:rFonts w:hint="eastAsia" w:ascii="宋体" w:hAnsi="宋体" w:eastAsia="宋体"/>
                <w:lang w:eastAsia="zh-CN"/>
              </w:rPr>
              <w:t>；</w:t>
            </w:r>
          </w:p>
          <w:p w14:paraId="2C9460BC">
            <w:pPr>
              <w:keepNext w:val="0"/>
              <w:keepLines w:val="0"/>
              <w:pageBreakBefore w:val="0"/>
              <w:widowControl/>
              <w:numPr>
                <w:ilvl w:val="0"/>
                <w:numId w:val="1"/>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cs="宋体"/>
                <w:color w:val="auto"/>
                <w:lang w:val="en"/>
              </w:rPr>
              <w:t>▲</w:t>
            </w:r>
            <w:r>
              <w:rPr>
                <w:rFonts w:hint="eastAsia" w:ascii="宋体" w:hAnsi="宋体" w:eastAsia="宋体"/>
              </w:rPr>
              <w:t>提供以下增量模式：当数据源端删除的数据在备份介质中保留，利用备份点仍然可以恢复数据源端已删除的数据</w:t>
            </w:r>
            <w:r>
              <w:rPr>
                <w:rFonts w:hint="eastAsia" w:ascii="宋体" w:hAnsi="宋体" w:eastAsia="宋体"/>
                <w:lang w:eastAsia="zh-CN"/>
              </w:rPr>
              <w:t>；</w:t>
            </w:r>
            <w:r>
              <w:rPr>
                <w:rFonts w:hint="eastAsia" w:ascii="宋体" w:hAnsi="宋体" w:eastAsia="宋体"/>
              </w:rPr>
              <w:t>数据源端与备份介质的数据保持同步，备份点只能恢复至当时的数据状态</w:t>
            </w:r>
            <w:r>
              <w:rPr>
                <w:rFonts w:hint="eastAsia" w:ascii="宋体" w:hAnsi="宋体" w:eastAsia="宋体"/>
                <w:lang w:eastAsia="zh-CN"/>
              </w:rPr>
              <w:t>；</w:t>
            </w:r>
          </w:p>
          <w:p w14:paraId="29F41460">
            <w:pPr>
              <w:keepNext w:val="0"/>
              <w:keepLines w:val="0"/>
              <w:pageBreakBefore w:val="0"/>
              <w:widowControl/>
              <w:numPr>
                <w:ilvl w:val="0"/>
                <w:numId w:val="1"/>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rPr>
              <w:t>提供文件过滤能力，可按照文件类型或文件大小进行过滤</w:t>
            </w:r>
            <w:r>
              <w:rPr>
                <w:rFonts w:hint="eastAsia" w:ascii="宋体" w:hAnsi="宋体" w:eastAsia="宋体"/>
                <w:lang w:eastAsia="zh-CN"/>
              </w:rPr>
              <w:t>；</w:t>
            </w:r>
          </w:p>
          <w:p w14:paraId="3CB7DE19">
            <w:pPr>
              <w:keepNext w:val="0"/>
              <w:keepLines w:val="0"/>
              <w:pageBreakBefore w:val="0"/>
              <w:widowControl/>
              <w:numPr>
                <w:ilvl w:val="0"/>
                <w:numId w:val="1"/>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cs="宋体"/>
                <w:color w:val="auto"/>
                <w:lang w:val="en"/>
              </w:rPr>
              <w:t>▲</w:t>
            </w:r>
            <w:r>
              <w:rPr>
                <w:rFonts w:hint="eastAsia" w:ascii="宋体" w:hAnsi="宋体" w:eastAsia="宋体"/>
              </w:rPr>
              <w:t>存储策略支持按照保留数量和时间两个不同的维度来自行设置备份数据的保留方式，对备份数据可进行压缩、加密、重复数据删除等操作</w:t>
            </w:r>
            <w:r>
              <w:rPr>
                <w:rFonts w:hint="eastAsia" w:ascii="宋体" w:hAnsi="宋体" w:eastAsia="宋体"/>
                <w:lang w:eastAsia="zh-CN"/>
              </w:rPr>
              <w:t>；</w:t>
            </w:r>
          </w:p>
          <w:p w14:paraId="6E81692B">
            <w:pPr>
              <w:keepNext w:val="0"/>
              <w:keepLines w:val="0"/>
              <w:pageBreakBefore w:val="0"/>
              <w:widowControl/>
              <w:numPr>
                <w:ilvl w:val="0"/>
                <w:numId w:val="1"/>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rPr>
              <w:t>可设置限速策略，对用户可对时间段、限速大小等进行设置</w:t>
            </w:r>
            <w:r>
              <w:rPr>
                <w:rFonts w:hint="eastAsia" w:ascii="宋体" w:hAnsi="宋体" w:eastAsia="宋体"/>
                <w:lang w:eastAsia="zh-CN"/>
              </w:rPr>
              <w:t>。</w:t>
            </w:r>
          </w:p>
        </w:tc>
      </w:tr>
      <w:tr w14:paraId="7B6F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vMerge w:val="continue"/>
          </w:tcPr>
          <w:p w14:paraId="1C4DF4A0">
            <w:pPr>
              <w:keepNext w:val="0"/>
              <w:keepLines w:val="0"/>
              <w:pageBreakBefore w:val="0"/>
              <w:kinsoku/>
              <w:wordWrap/>
              <w:overflowPunct/>
              <w:topLinePunct w:val="0"/>
              <w:autoSpaceDE/>
              <w:autoSpaceDN/>
              <w:bidi w:val="0"/>
              <w:adjustRightInd/>
              <w:snapToGrid/>
              <w:spacing w:line="288" w:lineRule="auto"/>
              <w:jc w:val="both"/>
              <w:textAlignment w:val="auto"/>
              <w:rPr>
                <w:vertAlign w:val="baseline"/>
              </w:rPr>
            </w:pPr>
          </w:p>
        </w:tc>
        <w:tc>
          <w:tcPr>
            <w:tcW w:w="780" w:type="dxa"/>
          </w:tcPr>
          <w:p w14:paraId="461D6853">
            <w:pPr>
              <w:keepNext w:val="0"/>
              <w:keepLines w:val="0"/>
              <w:pageBreakBefore w:val="0"/>
              <w:kinsoku/>
              <w:wordWrap/>
              <w:overflowPunct/>
              <w:topLinePunct w:val="0"/>
              <w:autoSpaceDE/>
              <w:autoSpaceDN/>
              <w:bidi w:val="0"/>
              <w:adjustRightInd/>
              <w:snapToGrid/>
              <w:spacing w:line="288" w:lineRule="auto"/>
              <w:jc w:val="both"/>
              <w:textAlignment w:val="auto"/>
              <w:rPr>
                <w:rFonts w:hint="default"/>
                <w:vertAlign w:val="baseline"/>
                <w:lang w:val="en-US" w:eastAsia="zh-CN"/>
              </w:rPr>
            </w:pPr>
            <w:r>
              <w:rPr>
                <w:rFonts w:hint="eastAsia"/>
                <w:vertAlign w:val="baseline"/>
                <w:lang w:val="en-US" w:eastAsia="zh-CN"/>
              </w:rPr>
              <w:t>8</w:t>
            </w:r>
          </w:p>
        </w:tc>
        <w:tc>
          <w:tcPr>
            <w:tcW w:w="1008" w:type="dxa"/>
            <w:vAlign w:val="center"/>
          </w:tcPr>
          <w:p w14:paraId="7F1E75E6">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rPr>
            </w:pPr>
            <w:r>
              <w:rPr>
                <w:rFonts w:hint="eastAsia" w:ascii="宋体" w:hAnsi="宋体" w:eastAsia="宋体"/>
              </w:rPr>
              <w:t>恢复策略</w:t>
            </w:r>
          </w:p>
        </w:tc>
        <w:tc>
          <w:tcPr>
            <w:tcW w:w="6036" w:type="dxa"/>
            <w:vAlign w:val="center"/>
          </w:tcPr>
          <w:p w14:paraId="63BA7A12">
            <w:pPr>
              <w:keepNext w:val="0"/>
              <w:keepLines w:val="0"/>
              <w:pageBreakBefore w:val="0"/>
              <w:widowControl/>
              <w:numPr>
                <w:ilvl w:val="0"/>
                <w:numId w:val="2"/>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rPr>
            </w:pPr>
            <w:r>
              <w:rPr>
                <w:rFonts w:hint="eastAsia" w:ascii="宋体" w:hAnsi="宋体" w:eastAsia="宋体"/>
              </w:rPr>
              <w:t>支持文件异构平台恢复，通过创建时间点恢复作业，选择需要恢复文件所在的主机及指定恢复文件及路径，设置恢复策略等，可以实现Windows文件备份恢复到 Linux平台，支持同一个恢复任务实现多个客户端文件恢复</w:t>
            </w:r>
            <w:r>
              <w:rPr>
                <w:rFonts w:hint="eastAsia" w:ascii="宋体" w:hAnsi="宋体" w:eastAsia="宋体"/>
                <w:lang w:eastAsia="zh-CN"/>
              </w:rPr>
              <w:t>；</w:t>
            </w:r>
          </w:p>
          <w:p w14:paraId="77AC242B">
            <w:pPr>
              <w:keepNext w:val="0"/>
              <w:keepLines w:val="0"/>
              <w:pageBreakBefore w:val="0"/>
              <w:widowControl/>
              <w:numPr>
                <w:ilvl w:val="0"/>
                <w:numId w:val="2"/>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rPr>
            </w:pPr>
            <w:r>
              <w:rPr>
                <w:rFonts w:hint="eastAsia" w:ascii="宋体" w:hAnsi="宋体" w:cs="宋体"/>
                <w:color w:val="auto"/>
                <w:lang w:val="en"/>
              </w:rPr>
              <w:t>▲</w:t>
            </w:r>
            <w:r>
              <w:rPr>
                <w:rFonts w:hint="eastAsia" w:ascii="宋体" w:hAnsi="宋体" w:eastAsia="宋体"/>
              </w:rPr>
              <w:t>虚拟化平台恢复具备传统恢复和快速恢复两种模式，采用传统恢复可将恢复数据传输到恢复目标中，采用快速恢复时可将恢复数据进行快速挂载，实现业务的快速恢复。可对恢复时的虚拟机的CPU核数、内存大小、存储空间、网络等进行统一或独立配置</w:t>
            </w:r>
            <w:r>
              <w:rPr>
                <w:rFonts w:hint="eastAsia" w:ascii="宋体" w:hAnsi="宋体" w:eastAsia="宋体"/>
                <w:lang w:eastAsia="zh-CN"/>
              </w:rPr>
              <w:t>；</w:t>
            </w:r>
          </w:p>
          <w:p w14:paraId="44CD7763">
            <w:pPr>
              <w:keepNext w:val="0"/>
              <w:keepLines w:val="0"/>
              <w:pageBreakBefore w:val="0"/>
              <w:widowControl/>
              <w:numPr>
                <w:ilvl w:val="0"/>
                <w:numId w:val="2"/>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rPr>
            </w:pPr>
            <w:r>
              <w:rPr>
                <w:rFonts w:hint="eastAsia" w:ascii="宋体" w:hAnsi="宋体" w:eastAsia="宋体"/>
              </w:rPr>
              <w:t>恢复时可进行传输策略设置，可进行传输带宽大小进行设置</w:t>
            </w:r>
            <w:r>
              <w:rPr>
                <w:rFonts w:hint="eastAsia" w:ascii="宋体" w:hAnsi="宋体" w:eastAsia="宋体"/>
                <w:lang w:eastAsia="zh-CN"/>
              </w:rPr>
              <w:t>；</w:t>
            </w:r>
          </w:p>
          <w:p w14:paraId="39A487E6">
            <w:pPr>
              <w:keepNext w:val="0"/>
              <w:keepLines w:val="0"/>
              <w:pageBreakBefore w:val="0"/>
              <w:widowControl/>
              <w:numPr>
                <w:ilvl w:val="0"/>
                <w:numId w:val="2"/>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rPr>
            </w:pPr>
            <w:r>
              <w:rPr>
                <w:rFonts w:hint="eastAsia" w:ascii="宋体" w:hAnsi="宋体" w:eastAsia="宋体"/>
              </w:rPr>
              <w:t>恢复时目标位置存在重复的文件时可选择跳过或覆盖</w:t>
            </w:r>
            <w:r>
              <w:rPr>
                <w:rFonts w:hint="eastAsia" w:ascii="宋体" w:hAnsi="宋体" w:eastAsia="宋体"/>
                <w:lang w:eastAsia="zh-CN"/>
              </w:rPr>
              <w:t>。</w:t>
            </w:r>
          </w:p>
        </w:tc>
      </w:tr>
      <w:tr w14:paraId="70BE0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vMerge w:val="continue"/>
          </w:tcPr>
          <w:p w14:paraId="0A4B40B3">
            <w:pPr>
              <w:keepNext w:val="0"/>
              <w:keepLines w:val="0"/>
              <w:pageBreakBefore w:val="0"/>
              <w:kinsoku/>
              <w:wordWrap/>
              <w:overflowPunct/>
              <w:topLinePunct w:val="0"/>
              <w:autoSpaceDE/>
              <w:autoSpaceDN/>
              <w:bidi w:val="0"/>
              <w:adjustRightInd/>
              <w:snapToGrid/>
              <w:spacing w:line="288" w:lineRule="auto"/>
              <w:jc w:val="both"/>
              <w:textAlignment w:val="auto"/>
              <w:rPr>
                <w:vertAlign w:val="baseline"/>
              </w:rPr>
            </w:pPr>
          </w:p>
        </w:tc>
        <w:tc>
          <w:tcPr>
            <w:tcW w:w="780" w:type="dxa"/>
          </w:tcPr>
          <w:p w14:paraId="0D503BAE">
            <w:pPr>
              <w:keepNext w:val="0"/>
              <w:keepLines w:val="0"/>
              <w:pageBreakBefore w:val="0"/>
              <w:kinsoku/>
              <w:wordWrap/>
              <w:overflowPunct/>
              <w:topLinePunct w:val="0"/>
              <w:autoSpaceDE/>
              <w:autoSpaceDN/>
              <w:bidi w:val="0"/>
              <w:adjustRightInd/>
              <w:snapToGrid/>
              <w:spacing w:line="288" w:lineRule="auto"/>
              <w:jc w:val="both"/>
              <w:textAlignment w:val="auto"/>
              <w:rPr>
                <w:rFonts w:hint="default" w:eastAsiaTheme="minorEastAsia"/>
                <w:vertAlign w:val="baseline"/>
                <w:lang w:val="en-US" w:eastAsia="zh-CN"/>
              </w:rPr>
            </w:pPr>
            <w:r>
              <w:rPr>
                <w:rFonts w:hint="eastAsia"/>
                <w:vertAlign w:val="baseline"/>
                <w:lang w:val="en-US" w:eastAsia="zh-CN"/>
              </w:rPr>
              <w:t>9</w:t>
            </w:r>
          </w:p>
        </w:tc>
        <w:tc>
          <w:tcPr>
            <w:tcW w:w="1008" w:type="dxa"/>
            <w:vAlign w:val="center"/>
          </w:tcPr>
          <w:p w14:paraId="1873E5C0">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rPr>
            </w:pPr>
            <w:r>
              <w:rPr>
                <w:rFonts w:hint="eastAsia" w:ascii="宋体" w:hAnsi="宋体" w:eastAsia="宋体"/>
                <w:lang w:val="en-US" w:eastAsia="zh-CN"/>
              </w:rPr>
              <w:t>文件保护服务</w:t>
            </w:r>
          </w:p>
          <w:p w14:paraId="48F260DE">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rPr>
            </w:pPr>
          </w:p>
        </w:tc>
        <w:tc>
          <w:tcPr>
            <w:tcW w:w="6036" w:type="dxa"/>
            <w:vAlign w:val="center"/>
          </w:tcPr>
          <w:p w14:paraId="32456B88">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cs="宋体"/>
                <w:color w:val="auto"/>
                <w:lang w:val="en"/>
              </w:rPr>
              <w:t>▲</w:t>
            </w:r>
            <w:r>
              <w:rPr>
                <w:rFonts w:hint="eastAsia" w:ascii="宋体" w:hAnsi="宋体" w:eastAsia="宋体"/>
                <w:lang w:val="en-US" w:eastAsia="zh-CN"/>
              </w:rPr>
              <w:t>支持文件备份，可以在同一个文件备份任务中，备份多个客户端的不同路径下的文件，同时支持在一个文件恢复任务中，恢复多个客户端的文件，支持对每个客户端配置不同的恢复策略，支持原路径快速恢复，以及指定路径恢复。</w:t>
            </w:r>
          </w:p>
        </w:tc>
      </w:tr>
      <w:tr w14:paraId="3855F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vMerge w:val="continue"/>
          </w:tcPr>
          <w:p w14:paraId="4097C939">
            <w:pPr>
              <w:keepNext w:val="0"/>
              <w:keepLines w:val="0"/>
              <w:pageBreakBefore w:val="0"/>
              <w:kinsoku/>
              <w:wordWrap/>
              <w:overflowPunct/>
              <w:topLinePunct w:val="0"/>
              <w:autoSpaceDE/>
              <w:autoSpaceDN/>
              <w:bidi w:val="0"/>
              <w:adjustRightInd/>
              <w:snapToGrid/>
              <w:spacing w:line="288" w:lineRule="auto"/>
              <w:jc w:val="both"/>
              <w:textAlignment w:val="auto"/>
              <w:rPr>
                <w:vertAlign w:val="baseline"/>
              </w:rPr>
            </w:pPr>
          </w:p>
        </w:tc>
        <w:tc>
          <w:tcPr>
            <w:tcW w:w="780" w:type="dxa"/>
          </w:tcPr>
          <w:p w14:paraId="3470ED76">
            <w:pPr>
              <w:keepNext w:val="0"/>
              <w:keepLines w:val="0"/>
              <w:pageBreakBefore w:val="0"/>
              <w:kinsoku/>
              <w:wordWrap/>
              <w:overflowPunct/>
              <w:topLinePunct w:val="0"/>
              <w:autoSpaceDE/>
              <w:autoSpaceDN/>
              <w:bidi w:val="0"/>
              <w:adjustRightInd/>
              <w:snapToGrid/>
              <w:spacing w:line="288" w:lineRule="auto"/>
              <w:jc w:val="both"/>
              <w:textAlignment w:val="auto"/>
              <w:rPr>
                <w:rFonts w:hint="default" w:eastAsiaTheme="minorEastAsia"/>
                <w:vertAlign w:val="baseline"/>
                <w:lang w:val="en-US" w:eastAsia="zh-CN"/>
              </w:rPr>
            </w:pPr>
            <w:r>
              <w:rPr>
                <w:rFonts w:hint="eastAsia"/>
                <w:vertAlign w:val="baseline"/>
                <w:lang w:val="en-US" w:eastAsia="zh-CN"/>
              </w:rPr>
              <w:t>10</w:t>
            </w:r>
          </w:p>
        </w:tc>
        <w:tc>
          <w:tcPr>
            <w:tcW w:w="1008" w:type="dxa"/>
            <w:vAlign w:val="center"/>
          </w:tcPr>
          <w:p w14:paraId="68E35F8D">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rPr>
            </w:pPr>
            <w:r>
              <w:rPr>
                <w:rFonts w:hint="eastAsia" w:ascii="宋体" w:hAnsi="宋体" w:eastAsia="宋体"/>
              </w:rPr>
              <w:t>虚拟化平台</w:t>
            </w:r>
            <w:r>
              <w:rPr>
                <w:rFonts w:hint="eastAsia" w:ascii="宋体" w:hAnsi="宋体" w:eastAsia="宋体"/>
                <w:lang w:val="en-US" w:eastAsia="zh-CN"/>
              </w:rPr>
              <w:t>保护服务</w:t>
            </w:r>
          </w:p>
        </w:tc>
        <w:tc>
          <w:tcPr>
            <w:tcW w:w="6036" w:type="dxa"/>
            <w:vAlign w:val="center"/>
          </w:tcPr>
          <w:p w14:paraId="79EF815F">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cs="宋体"/>
                <w:color w:val="auto"/>
                <w:lang w:val="en"/>
              </w:rPr>
              <w:t>▲</w:t>
            </w:r>
            <w:r>
              <w:rPr>
                <w:rFonts w:hint="eastAsia" w:ascii="宋体" w:hAnsi="宋体" w:eastAsia="宋体"/>
                <w:lang w:val="en-US" w:eastAsia="zh-CN"/>
              </w:rPr>
              <w:t>提供对虚拟化平台无代理备份能力，支持Vmware、Hyper-V、云宏Cnware、深信服超融合，华为Fusion compute、H3C CAS/UIS、瑞驰、KVM等虚拟化平台的无代理备份，支持CBT以便减少数据的传输量，支持虚拟化平台异机恢复和快速恢复</w:t>
            </w:r>
          </w:p>
        </w:tc>
      </w:tr>
      <w:tr w14:paraId="50D8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vMerge w:val="continue"/>
          </w:tcPr>
          <w:p w14:paraId="262C16AE">
            <w:pPr>
              <w:keepNext w:val="0"/>
              <w:keepLines w:val="0"/>
              <w:pageBreakBefore w:val="0"/>
              <w:kinsoku/>
              <w:wordWrap/>
              <w:overflowPunct/>
              <w:topLinePunct w:val="0"/>
              <w:autoSpaceDE/>
              <w:autoSpaceDN/>
              <w:bidi w:val="0"/>
              <w:adjustRightInd/>
              <w:snapToGrid/>
              <w:spacing w:line="288" w:lineRule="auto"/>
              <w:jc w:val="both"/>
              <w:textAlignment w:val="auto"/>
              <w:rPr>
                <w:vertAlign w:val="baseline"/>
              </w:rPr>
            </w:pPr>
          </w:p>
        </w:tc>
        <w:tc>
          <w:tcPr>
            <w:tcW w:w="780" w:type="dxa"/>
          </w:tcPr>
          <w:p w14:paraId="13593237">
            <w:pPr>
              <w:keepNext w:val="0"/>
              <w:keepLines w:val="0"/>
              <w:pageBreakBefore w:val="0"/>
              <w:kinsoku/>
              <w:wordWrap/>
              <w:overflowPunct/>
              <w:topLinePunct w:val="0"/>
              <w:autoSpaceDE/>
              <w:autoSpaceDN/>
              <w:bidi w:val="0"/>
              <w:adjustRightInd/>
              <w:snapToGrid/>
              <w:spacing w:line="288" w:lineRule="auto"/>
              <w:jc w:val="both"/>
              <w:textAlignment w:val="auto"/>
              <w:rPr>
                <w:rFonts w:hint="default" w:eastAsiaTheme="minorEastAsia"/>
                <w:vertAlign w:val="baseline"/>
                <w:lang w:val="en-US" w:eastAsia="zh-CN"/>
              </w:rPr>
            </w:pPr>
            <w:r>
              <w:rPr>
                <w:rFonts w:hint="eastAsia"/>
                <w:vertAlign w:val="baseline"/>
                <w:lang w:val="en-US" w:eastAsia="zh-CN"/>
              </w:rPr>
              <w:t>11</w:t>
            </w:r>
          </w:p>
        </w:tc>
        <w:tc>
          <w:tcPr>
            <w:tcW w:w="1008" w:type="dxa"/>
            <w:vAlign w:val="center"/>
          </w:tcPr>
          <w:p w14:paraId="3FBDF099">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rPr>
            </w:pPr>
            <w:r>
              <w:rPr>
                <w:rFonts w:hint="eastAsia" w:ascii="宋体" w:hAnsi="宋体" w:eastAsia="宋体"/>
              </w:rPr>
              <w:t>数据库</w:t>
            </w:r>
            <w:r>
              <w:rPr>
                <w:rFonts w:hint="eastAsia" w:ascii="宋体" w:hAnsi="宋体" w:eastAsia="宋体"/>
                <w:lang w:val="en-US" w:eastAsia="zh-CN"/>
              </w:rPr>
              <w:t>保护服务</w:t>
            </w:r>
          </w:p>
        </w:tc>
        <w:tc>
          <w:tcPr>
            <w:tcW w:w="6036" w:type="dxa"/>
            <w:vAlign w:val="center"/>
          </w:tcPr>
          <w:p w14:paraId="34B3D491">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cs="宋体"/>
                <w:color w:val="auto"/>
                <w:lang w:val="en"/>
              </w:rPr>
              <w:t>▲</w:t>
            </w:r>
            <w:r>
              <w:rPr>
                <w:rFonts w:hint="eastAsia" w:ascii="宋体" w:hAnsi="宋体" w:eastAsia="宋体"/>
                <w:lang w:val="en-US" w:eastAsia="zh-CN"/>
              </w:rPr>
              <w:t>支持Oracle，SQL Server，MySQL，GreenPlam以及国产主流数据库系统包括达梦、人大金仓、南大通用、神舟通用，奥星贝斯（OceanBase）等主流国产数据库系统的备份，恢复，支持数据库的全量，增量，以及差异备份。</w:t>
            </w:r>
          </w:p>
        </w:tc>
      </w:tr>
      <w:tr w14:paraId="76FF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vMerge w:val="continue"/>
          </w:tcPr>
          <w:p w14:paraId="49E62E0E">
            <w:pPr>
              <w:keepNext w:val="0"/>
              <w:keepLines w:val="0"/>
              <w:pageBreakBefore w:val="0"/>
              <w:kinsoku/>
              <w:wordWrap/>
              <w:overflowPunct/>
              <w:topLinePunct w:val="0"/>
              <w:autoSpaceDE/>
              <w:autoSpaceDN/>
              <w:bidi w:val="0"/>
              <w:adjustRightInd/>
              <w:snapToGrid/>
              <w:spacing w:line="288" w:lineRule="auto"/>
              <w:jc w:val="both"/>
              <w:textAlignment w:val="auto"/>
              <w:rPr>
                <w:vertAlign w:val="baseline"/>
              </w:rPr>
            </w:pPr>
          </w:p>
        </w:tc>
        <w:tc>
          <w:tcPr>
            <w:tcW w:w="780" w:type="dxa"/>
          </w:tcPr>
          <w:p w14:paraId="308A6BB3">
            <w:pPr>
              <w:keepNext w:val="0"/>
              <w:keepLines w:val="0"/>
              <w:pageBreakBefore w:val="0"/>
              <w:kinsoku/>
              <w:wordWrap/>
              <w:overflowPunct/>
              <w:topLinePunct w:val="0"/>
              <w:autoSpaceDE/>
              <w:autoSpaceDN/>
              <w:bidi w:val="0"/>
              <w:adjustRightInd/>
              <w:snapToGrid/>
              <w:spacing w:line="288" w:lineRule="auto"/>
              <w:jc w:val="both"/>
              <w:textAlignment w:val="auto"/>
              <w:rPr>
                <w:rFonts w:hint="default" w:eastAsiaTheme="minorEastAsia"/>
                <w:vertAlign w:val="baseline"/>
                <w:lang w:val="en-US" w:eastAsia="zh-CN"/>
              </w:rPr>
            </w:pPr>
            <w:r>
              <w:rPr>
                <w:rFonts w:hint="eastAsia"/>
                <w:vertAlign w:val="baseline"/>
                <w:lang w:val="en-US" w:eastAsia="zh-CN"/>
              </w:rPr>
              <w:t>12</w:t>
            </w:r>
          </w:p>
        </w:tc>
        <w:tc>
          <w:tcPr>
            <w:tcW w:w="1008" w:type="dxa"/>
            <w:vAlign w:val="center"/>
          </w:tcPr>
          <w:p w14:paraId="0D6BBE9F">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lang w:val="en-US" w:eastAsia="zh-CN"/>
              </w:rPr>
            </w:pPr>
            <w:r>
              <w:rPr>
                <w:rFonts w:hint="eastAsia" w:ascii="宋体" w:hAnsi="宋体" w:eastAsia="宋体"/>
                <w:lang w:val="en-US" w:eastAsia="zh-CN"/>
              </w:rPr>
              <w:t>整机</w:t>
            </w:r>
            <w:r>
              <w:rPr>
                <w:rFonts w:hint="eastAsia" w:ascii="宋体" w:hAnsi="宋体" w:eastAsia="宋体"/>
              </w:rPr>
              <w:t>备份</w:t>
            </w:r>
            <w:r>
              <w:rPr>
                <w:rFonts w:hint="eastAsia" w:ascii="宋体" w:hAnsi="宋体" w:eastAsia="宋体"/>
                <w:lang w:val="en-US" w:eastAsia="zh-CN"/>
              </w:rPr>
              <w:t>服务</w:t>
            </w:r>
          </w:p>
        </w:tc>
        <w:tc>
          <w:tcPr>
            <w:tcW w:w="6036" w:type="dxa"/>
            <w:vAlign w:val="center"/>
          </w:tcPr>
          <w:p w14:paraId="1DD50740">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cs="宋体"/>
                <w:color w:val="auto"/>
                <w:lang w:val="en"/>
              </w:rPr>
              <w:t>▲</w:t>
            </w:r>
            <w:r>
              <w:rPr>
                <w:rFonts w:hint="eastAsia" w:ascii="宋体" w:hAnsi="宋体" w:eastAsia="宋体"/>
                <w:lang w:val="en-US" w:eastAsia="zh-CN"/>
              </w:rPr>
              <w:t>支持基于卷级别的磁盘备份，对整个磁盘上数据进行，无需关注业务的版本，数据库的版本，支持包含操作系统，应用以及数据的整体备份。同时支持在虚拟化平台进行备份数据的快速提取验证。</w:t>
            </w:r>
          </w:p>
        </w:tc>
      </w:tr>
      <w:tr w14:paraId="52158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vMerge w:val="continue"/>
          </w:tcPr>
          <w:p w14:paraId="034A0C59">
            <w:pPr>
              <w:keepNext w:val="0"/>
              <w:keepLines w:val="0"/>
              <w:pageBreakBefore w:val="0"/>
              <w:kinsoku/>
              <w:wordWrap/>
              <w:overflowPunct/>
              <w:topLinePunct w:val="0"/>
              <w:autoSpaceDE/>
              <w:autoSpaceDN/>
              <w:bidi w:val="0"/>
              <w:adjustRightInd/>
              <w:snapToGrid/>
              <w:spacing w:line="288" w:lineRule="auto"/>
              <w:jc w:val="both"/>
              <w:textAlignment w:val="auto"/>
              <w:rPr>
                <w:vertAlign w:val="baseline"/>
              </w:rPr>
            </w:pPr>
          </w:p>
        </w:tc>
        <w:tc>
          <w:tcPr>
            <w:tcW w:w="780" w:type="dxa"/>
          </w:tcPr>
          <w:p w14:paraId="4812A26F">
            <w:pPr>
              <w:keepNext w:val="0"/>
              <w:keepLines w:val="0"/>
              <w:pageBreakBefore w:val="0"/>
              <w:kinsoku/>
              <w:wordWrap/>
              <w:overflowPunct/>
              <w:topLinePunct w:val="0"/>
              <w:autoSpaceDE/>
              <w:autoSpaceDN/>
              <w:bidi w:val="0"/>
              <w:adjustRightInd/>
              <w:snapToGrid/>
              <w:spacing w:line="288" w:lineRule="auto"/>
              <w:jc w:val="both"/>
              <w:textAlignment w:val="auto"/>
              <w:rPr>
                <w:rFonts w:hint="default" w:eastAsiaTheme="minorEastAsia"/>
                <w:vertAlign w:val="baseline"/>
                <w:lang w:val="en-US" w:eastAsia="zh-CN"/>
              </w:rPr>
            </w:pPr>
            <w:r>
              <w:rPr>
                <w:rFonts w:hint="eastAsia"/>
                <w:vertAlign w:val="baseline"/>
                <w:lang w:val="en-US" w:eastAsia="zh-CN"/>
              </w:rPr>
              <w:t>13</w:t>
            </w:r>
          </w:p>
        </w:tc>
        <w:tc>
          <w:tcPr>
            <w:tcW w:w="1008" w:type="dxa"/>
            <w:vAlign w:val="center"/>
          </w:tcPr>
          <w:p w14:paraId="6770C02C">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rPr>
            </w:pPr>
            <w:r>
              <w:rPr>
                <w:rFonts w:hint="eastAsia" w:ascii="宋体" w:hAnsi="宋体" w:eastAsia="宋体"/>
              </w:rPr>
              <w:t>远程复制</w:t>
            </w:r>
          </w:p>
        </w:tc>
        <w:tc>
          <w:tcPr>
            <w:tcW w:w="6036" w:type="dxa"/>
            <w:vAlign w:val="center"/>
          </w:tcPr>
          <w:p w14:paraId="0CD8BE84">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cs="宋体"/>
                <w:color w:val="auto"/>
                <w:lang w:val="en"/>
              </w:rPr>
              <w:t>▲</w:t>
            </w:r>
            <w:r>
              <w:rPr>
                <w:rFonts w:hint="eastAsia" w:ascii="宋体" w:hAnsi="宋体" w:eastAsia="宋体"/>
                <w:lang w:val="en-US" w:eastAsia="zh-CN"/>
              </w:rPr>
              <w:t>支持Web页面配置容灾复制，备份系统可以在web界面配置容灾复制，通过精简带宽把数据复制至异地灾备中心备份系统上，并可以配置在灾备中心进行业务的容灾。支持A-&gt;B-&gt;C多个数据中心多级容灾复制，复制支持SM4，TLS/SSL等加密传输，保障数据私密性。</w:t>
            </w:r>
          </w:p>
        </w:tc>
      </w:tr>
      <w:tr w14:paraId="195F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vMerge w:val="continue"/>
          </w:tcPr>
          <w:p w14:paraId="415593B0">
            <w:pPr>
              <w:keepNext w:val="0"/>
              <w:keepLines w:val="0"/>
              <w:pageBreakBefore w:val="0"/>
              <w:kinsoku/>
              <w:wordWrap/>
              <w:overflowPunct/>
              <w:topLinePunct w:val="0"/>
              <w:autoSpaceDE/>
              <w:autoSpaceDN/>
              <w:bidi w:val="0"/>
              <w:adjustRightInd/>
              <w:snapToGrid/>
              <w:spacing w:line="288" w:lineRule="auto"/>
              <w:jc w:val="both"/>
              <w:textAlignment w:val="auto"/>
              <w:rPr>
                <w:vertAlign w:val="baseline"/>
              </w:rPr>
            </w:pPr>
          </w:p>
        </w:tc>
        <w:tc>
          <w:tcPr>
            <w:tcW w:w="780" w:type="dxa"/>
          </w:tcPr>
          <w:p w14:paraId="11B45AB7">
            <w:pPr>
              <w:keepNext w:val="0"/>
              <w:keepLines w:val="0"/>
              <w:pageBreakBefore w:val="0"/>
              <w:kinsoku/>
              <w:wordWrap/>
              <w:overflowPunct/>
              <w:topLinePunct w:val="0"/>
              <w:autoSpaceDE/>
              <w:autoSpaceDN/>
              <w:bidi w:val="0"/>
              <w:adjustRightInd/>
              <w:snapToGrid/>
              <w:spacing w:line="288" w:lineRule="auto"/>
              <w:jc w:val="both"/>
              <w:textAlignment w:val="auto"/>
              <w:rPr>
                <w:rFonts w:hint="default" w:eastAsiaTheme="minorEastAsia"/>
                <w:vertAlign w:val="baseline"/>
                <w:lang w:val="en-US" w:eastAsia="zh-CN"/>
              </w:rPr>
            </w:pPr>
            <w:r>
              <w:rPr>
                <w:rFonts w:hint="eastAsia"/>
                <w:vertAlign w:val="baseline"/>
                <w:lang w:val="en-US" w:eastAsia="zh-CN"/>
              </w:rPr>
              <w:t>14</w:t>
            </w:r>
          </w:p>
        </w:tc>
        <w:tc>
          <w:tcPr>
            <w:tcW w:w="1008" w:type="dxa"/>
            <w:vAlign w:val="center"/>
          </w:tcPr>
          <w:p w14:paraId="78291BC9">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rPr>
            </w:pPr>
            <w:r>
              <w:rPr>
                <w:rFonts w:hint="eastAsia" w:ascii="宋体" w:hAnsi="宋体" w:eastAsia="宋体"/>
              </w:rPr>
              <w:t>底层重删</w:t>
            </w:r>
          </w:p>
        </w:tc>
        <w:tc>
          <w:tcPr>
            <w:tcW w:w="6036" w:type="dxa"/>
            <w:vAlign w:val="center"/>
          </w:tcPr>
          <w:p w14:paraId="4CBC5626">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lang w:val="en-US" w:eastAsia="zh-CN"/>
              </w:rPr>
              <w:t>基于底层文件系统的重删技术，在底层文件系统层面进行文件指纹记录对重复文件进行重删，提高重删率，提高存储空间使用率。</w:t>
            </w:r>
          </w:p>
        </w:tc>
      </w:tr>
      <w:tr w14:paraId="00B8B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vMerge w:val="continue"/>
          </w:tcPr>
          <w:p w14:paraId="61642BB4">
            <w:pPr>
              <w:keepNext w:val="0"/>
              <w:keepLines w:val="0"/>
              <w:pageBreakBefore w:val="0"/>
              <w:kinsoku/>
              <w:wordWrap/>
              <w:overflowPunct/>
              <w:topLinePunct w:val="0"/>
              <w:autoSpaceDE/>
              <w:autoSpaceDN/>
              <w:bidi w:val="0"/>
              <w:adjustRightInd/>
              <w:snapToGrid/>
              <w:spacing w:line="288" w:lineRule="auto"/>
              <w:jc w:val="both"/>
              <w:textAlignment w:val="auto"/>
              <w:rPr>
                <w:vertAlign w:val="baseline"/>
              </w:rPr>
            </w:pPr>
          </w:p>
        </w:tc>
        <w:tc>
          <w:tcPr>
            <w:tcW w:w="780" w:type="dxa"/>
          </w:tcPr>
          <w:p w14:paraId="429E6C9E">
            <w:pPr>
              <w:keepNext w:val="0"/>
              <w:keepLines w:val="0"/>
              <w:pageBreakBefore w:val="0"/>
              <w:kinsoku/>
              <w:wordWrap/>
              <w:overflowPunct/>
              <w:topLinePunct w:val="0"/>
              <w:autoSpaceDE/>
              <w:autoSpaceDN/>
              <w:bidi w:val="0"/>
              <w:adjustRightInd/>
              <w:snapToGrid/>
              <w:spacing w:line="288" w:lineRule="auto"/>
              <w:jc w:val="both"/>
              <w:textAlignment w:val="auto"/>
              <w:rPr>
                <w:rFonts w:hint="default"/>
                <w:vertAlign w:val="baseline"/>
                <w:lang w:val="en-US" w:eastAsia="zh-CN"/>
              </w:rPr>
            </w:pPr>
            <w:r>
              <w:rPr>
                <w:rFonts w:hint="eastAsia"/>
                <w:vertAlign w:val="baseline"/>
                <w:lang w:val="en-US" w:eastAsia="zh-CN"/>
              </w:rPr>
              <w:t>15</w:t>
            </w:r>
          </w:p>
        </w:tc>
        <w:tc>
          <w:tcPr>
            <w:tcW w:w="1008" w:type="dxa"/>
            <w:vAlign w:val="center"/>
          </w:tcPr>
          <w:p w14:paraId="639562A8">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lang w:val="en-US" w:eastAsia="zh-CN"/>
              </w:rPr>
              <w:t>多历史点快照</w:t>
            </w:r>
          </w:p>
        </w:tc>
        <w:tc>
          <w:tcPr>
            <w:tcW w:w="6036" w:type="dxa"/>
            <w:vAlign w:val="center"/>
          </w:tcPr>
          <w:p w14:paraId="3EC4A769">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cs="宋体"/>
                <w:color w:val="auto"/>
                <w:lang w:val="en"/>
              </w:rPr>
              <w:t>▲</w:t>
            </w:r>
            <w:r>
              <w:rPr>
                <w:rFonts w:hint="eastAsia" w:ascii="宋体" w:hAnsi="宋体" w:eastAsia="宋体"/>
                <w:lang w:val="en-US" w:eastAsia="zh-CN"/>
              </w:rPr>
              <w:t>支持多点快照技术，以提供多历史时间点的快速恢复能力。具备单LUN不少于1000个快照能力，支持2000个以上的LUN同时开启快照功能。</w:t>
            </w:r>
          </w:p>
        </w:tc>
      </w:tr>
      <w:tr w14:paraId="59C76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vMerge w:val="continue"/>
          </w:tcPr>
          <w:p w14:paraId="667D4FD8">
            <w:pPr>
              <w:keepNext w:val="0"/>
              <w:keepLines w:val="0"/>
              <w:pageBreakBefore w:val="0"/>
              <w:kinsoku/>
              <w:wordWrap/>
              <w:overflowPunct/>
              <w:topLinePunct w:val="0"/>
              <w:autoSpaceDE/>
              <w:autoSpaceDN/>
              <w:bidi w:val="0"/>
              <w:adjustRightInd/>
              <w:snapToGrid/>
              <w:spacing w:line="288" w:lineRule="auto"/>
              <w:jc w:val="both"/>
              <w:textAlignment w:val="auto"/>
              <w:rPr>
                <w:vertAlign w:val="baseline"/>
              </w:rPr>
            </w:pPr>
          </w:p>
        </w:tc>
        <w:tc>
          <w:tcPr>
            <w:tcW w:w="780" w:type="dxa"/>
          </w:tcPr>
          <w:p w14:paraId="3E10321B">
            <w:pPr>
              <w:keepNext w:val="0"/>
              <w:keepLines w:val="0"/>
              <w:pageBreakBefore w:val="0"/>
              <w:kinsoku/>
              <w:wordWrap/>
              <w:overflowPunct/>
              <w:topLinePunct w:val="0"/>
              <w:autoSpaceDE/>
              <w:autoSpaceDN/>
              <w:bidi w:val="0"/>
              <w:adjustRightInd/>
              <w:snapToGrid/>
              <w:spacing w:line="288" w:lineRule="auto"/>
              <w:jc w:val="both"/>
              <w:textAlignment w:val="auto"/>
              <w:rPr>
                <w:rFonts w:hint="default"/>
                <w:vertAlign w:val="baseline"/>
                <w:lang w:val="en-US" w:eastAsia="zh-CN"/>
              </w:rPr>
            </w:pPr>
            <w:r>
              <w:rPr>
                <w:rFonts w:hint="eastAsia"/>
                <w:vertAlign w:val="baseline"/>
                <w:lang w:val="en-US" w:eastAsia="zh-CN"/>
              </w:rPr>
              <w:t>16</w:t>
            </w:r>
          </w:p>
        </w:tc>
        <w:tc>
          <w:tcPr>
            <w:tcW w:w="1008" w:type="dxa"/>
            <w:vAlign w:val="center"/>
          </w:tcPr>
          <w:p w14:paraId="0F8E1414">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default" w:ascii="宋体" w:hAnsi="宋体" w:eastAsia="宋体"/>
                <w:lang w:val="en-US" w:eastAsia="zh-CN"/>
              </w:rPr>
            </w:pPr>
            <w:r>
              <w:rPr>
                <w:rFonts w:hint="eastAsia" w:ascii="宋体" w:hAnsi="宋体" w:eastAsia="宋体"/>
                <w:lang w:val="en-US" w:eastAsia="zh-CN"/>
              </w:rPr>
              <w:t>应急接管</w:t>
            </w:r>
          </w:p>
        </w:tc>
        <w:tc>
          <w:tcPr>
            <w:tcW w:w="6036" w:type="dxa"/>
            <w:vAlign w:val="center"/>
          </w:tcPr>
          <w:p w14:paraId="60EB6B00">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lang w:val="en-US" w:eastAsia="zh-CN"/>
              </w:rPr>
              <w:t>基于磁盘块的CDP持续数据保护技术，支持实现系统和数据的快速恢复以及应急接管；</w:t>
            </w:r>
          </w:p>
          <w:p w14:paraId="16D36C31">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lang w:val="en-US" w:eastAsia="zh-CN"/>
              </w:rPr>
              <w:t>支持windows和Linux环境的一键式自动应急接管，支持操作系统和业务应用程序一键式P2V、V2V自动应急接管；</w:t>
            </w:r>
          </w:p>
        </w:tc>
      </w:tr>
      <w:tr w14:paraId="1F62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vMerge w:val="continue"/>
          </w:tcPr>
          <w:p w14:paraId="68A10CB6">
            <w:pPr>
              <w:keepNext w:val="0"/>
              <w:keepLines w:val="0"/>
              <w:pageBreakBefore w:val="0"/>
              <w:kinsoku/>
              <w:wordWrap/>
              <w:overflowPunct/>
              <w:topLinePunct w:val="0"/>
              <w:autoSpaceDE/>
              <w:autoSpaceDN/>
              <w:bidi w:val="0"/>
              <w:adjustRightInd/>
              <w:snapToGrid/>
              <w:spacing w:line="288" w:lineRule="auto"/>
              <w:jc w:val="both"/>
              <w:textAlignment w:val="auto"/>
              <w:rPr>
                <w:vertAlign w:val="baseline"/>
              </w:rPr>
            </w:pPr>
          </w:p>
        </w:tc>
        <w:tc>
          <w:tcPr>
            <w:tcW w:w="780" w:type="dxa"/>
          </w:tcPr>
          <w:p w14:paraId="058ED149">
            <w:pPr>
              <w:keepNext w:val="0"/>
              <w:keepLines w:val="0"/>
              <w:pageBreakBefore w:val="0"/>
              <w:kinsoku/>
              <w:wordWrap/>
              <w:overflowPunct/>
              <w:topLinePunct w:val="0"/>
              <w:autoSpaceDE/>
              <w:autoSpaceDN/>
              <w:bidi w:val="0"/>
              <w:adjustRightInd/>
              <w:snapToGrid/>
              <w:spacing w:line="288" w:lineRule="auto"/>
              <w:jc w:val="both"/>
              <w:textAlignment w:val="auto"/>
              <w:rPr>
                <w:rFonts w:hint="default"/>
                <w:vertAlign w:val="baseline"/>
                <w:lang w:val="en-US" w:eastAsia="zh-CN"/>
              </w:rPr>
            </w:pPr>
            <w:r>
              <w:rPr>
                <w:rFonts w:hint="eastAsia"/>
                <w:vertAlign w:val="baseline"/>
                <w:lang w:val="en-US" w:eastAsia="zh-CN"/>
              </w:rPr>
              <w:t>17</w:t>
            </w:r>
          </w:p>
        </w:tc>
        <w:tc>
          <w:tcPr>
            <w:tcW w:w="1008" w:type="dxa"/>
            <w:vAlign w:val="center"/>
          </w:tcPr>
          <w:p w14:paraId="64E891CB">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lang w:val="en-US" w:eastAsia="zh-CN"/>
              </w:rPr>
              <w:t>演练服务</w:t>
            </w:r>
          </w:p>
        </w:tc>
        <w:tc>
          <w:tcPr>
            <w:tcW w:w="6036" w:type="dxa"/>
            <w:vAlign w:val="center"/>
          </w:tcPr>
          <w:p w14:paraId="582655FB">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cs="宋体"/>
                <w:color w:val="auto"/>
                <w:lang w:val="en"/>
              </w:rPr>
              <w:t>▲</w:t>
            </w:r>
            <w:r>
              <w:rPr>
                <w:rFonts w:hint="eastAsia" w:ascii="宋体" w:hAnsi="宋体" w:eastAsia="宋体"/>
                <w:lang w:val="en-US" w:eastAsia="zh-CN"/>
              </w:rPr>
              <w:t>容灾备份系统支持在线演练功能，演练的同时本地系统保护不能中断，提供多历史点数据同时进行检验；验证本地录像历史数据的查验动作对生产系统不产生任何影响；支持提取异地灾备中心的数据在本地数据中心进行容灾演练，减少灾备中心的资源投入；</w:t>
            </w:r>
          </w:p>
          <w:p w14:paraId="78FF5BDE">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cs="宋体"/>
                <w:color w:val="auto"/>
                <w:lang w:val="en"/>
              </w:rPr>
              <w:t>▲</w:t>
            </w:r>
            <w:r>
              <w:rPr>
                <w:rFonts w:hint="eastAsia" w:ascii="宋体" w:hAnsi="宋体" w:eastAsia="宋体"/>
                <w:lang w:val="en-US" w:eastAsia="zh-CN"/>
              </w:rPr>
              <w:t>容灾备份系统可以在演练完成后，自动进行资源释放，清除演练痕迹，只保留演练记录，记录演练结果。</w:t>
            </w:r>
          </w:p>
        </w:tc>
      </w:tr>
      <w:tr w14:paraId="4896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tcPr>
          <w:p w14:paraId="5408AB1E">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lang w:val="en-US" w:eastAsia="zh-CN"/>
              </w:rPr>
            </w:pPr>
            <w:r>
              <w:rPr>
                <w:rFonts w:hint="eastAsia" w:ascii="宋体" w:hAnsi="宋体" w:eastAsia="宋体"/>
                <w:lang w:val="en-US" w:eastAsia="zh-CN"/>
              </w:rPr>
              <w:t>灾备培训服务技术要求</w:t>
            </w:r>
          </w:p>
        </w:tc>
        <w:tc>
          <w:tcPr>
            <w:tcW w:w="1788" w:type="dxa"/>
            <w:gridSpan w:val="2"/>
          </w:tcPr>
          <w:p w14:paraId="41367C23">
            <w:pPr>
              <w:keepNext w:val="0"/>
              <w:keepLines w:val="0"/>
              <w:pageBreakBefore w:val="0"/>
              <w:widowControl/>
              <w:tabs>
                <w:tab w:val="left" w:pos="420"/>
              </w:tabs>
              <w:kinsoku/>
              <w:wordWrap/>
              <w:overflowPunct/>
              <w:topLinePunct w:val="0"/>
              <w:autoSpaceDE/>
              <w:autoSpaceDN/>
              <w:bidi w:val="0"/>
              <w:adjustRightInd/>
              <w:snapToGrid/>
              <w:spacing w:line="288" w:lineRule="auto"/>
              <w:ind w:firstLine="420" w:firstLineChars="200"/>
              <w:textAlignment w:val="auto"/>
              <w:rPr>
                <w:rFonts w:hint="default" w:ascii="宋体" w:hAnsi="宋体" w:eastAsia="宋体"/>
                <w:lang w:val="en-US" w:eastAsia="zh-CN"/>
              </w:rPr>
            </w:pPr>
            <w:r>
              <w:rPr>
                <w:rFonts w:hint="eastAsia" w:ascii="宋体" w:hAnsi="宋体" w:eastAsia="宋体"/>
                <w:lang w:val="en-US" w:eastAsia="zh-CN"/>
              </w:rPr>
              <w:t>培训服务</w:t>
            </w:r>
          </w:p>
        </w:tc>
        <w:tc>
          <w:tcPr>
            <w:tcW w:w="6036" w:type="dxa"/>
            <w:vAlign w:val="center"/>
          </w:tcPr>
          <w:p w14:paraId="40CE9B2C">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lang w:val="en-US" w:eastAsia="zh-CN"/>
              </w:rPr>
              <w:t>现场技术培训至少一次，并提供一次行业最新灾备项目知识培训，培训讲师需要具备国家灾备培训认证讲师资格；技能培训包括容灾知识培训、技术方案培训、容灾管理系统使用培训、预案培训、演练等相关培训等。</w:t>
            </w:r>
          </w:p>
        </w:tc>
      </w:tr>
      <w:tr w14:paraId="4DE28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8" w:type="dxa"/>
          </w:tcPr>
          <w:p w14:paraId="16DFEDD2">
            <w:pPr>
              <w:widowControl/>
              <w:jc w:val="center"/>
              <w:rPr>
                <w:rFonts w:hint="eastAsia" w:ascii="宋体" w:hAnsi="宋体" w:eastAsia="宋体"/>
                <w:lang w:val="en-US" w:eastAsia="zh-CN"/>
              </w:rPr>
            </w:pPr>
            <w:r>
              <w:rPr>
                <w:rFonts w:hint="eastAsia" w:ascii="宋体" w:hAnsi="宋体" w:eastAsia="宋体"/>
                <w:lang w:val="en-US" w:eastAsia="zh-CN"/>
              </w:rPr>
              <w:t>灾备专线技术要求</w:t>
            </w:r>
          </w:p>
        </w:tc>
        <w:tc>
          <w:tcPr>
            <w:tcW w:w="1788" w:type="dxa"/>
            <w:gridSpan w:val="2"/>
          </w:tcPr>
          <w:p w14:paraId="61FE105E">
            <w:pPr>
              <w:widowControl/>
              <w:jc w:val="center"/>
              <w:rPr>
                <w:rFonts w:hint="default" w:ascii="宋体" w:hAnsi="宋体" w:eastAsia="宋体"/>
                <w:lang w:val="en-US" w:eastAsia="zh-CN"/>
              </w:rPr>
            </w:pPr>
            <w:r>
              <w:rPr>
                <w:rFonts w:hint="eastAsia" w:ascii="宋体" w:hAnsi="宋体" w:eastAsia="宋体"/>
                <w:lang w:val="en-US" w:eastAsia="zh-CN"/>
              </w:rPr>
              <w:t>专线服务</w:t>
            </w:r>
          </w:p>
        </w:tc>
        <w:tc>
          <w:tcPr>
            <w:tcW w:w="6036" w:type="dxa"/>
            <w:vAlign w:val="center"/>
          </w:tcPr>
          <w:p w14:paraId="4970716D">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lang w:val="en-US" w:eastAsia="zh-CN"/>
              </w:rPr>
              <w:t>1、专线规格：提供上下行对称100M点对点裸专线，物理链路独立隔离，不与互联网、院内办公网共用通道。</w:t>
            </w:r>
          </w:p>
          <w:p w14:paraId="14DA7249">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lang w:val="en-US" w:eastAsia="zh-CN"/>
              </w:rPr>
              <w:t>2、链路拓扑：一端接入医院机房，一端接入灾备机房，点对点直连。</w:t>
            </w:r>
          </w:p>
          <w:p w14:paraId="22D8AFEA">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lang w:val="en-US" w:eastAsia="zh-CN"/>
              </w:rPr>
              <w:t>3、线路质量指标：端到端时延≤5ms，长期丢包率≤0.1%，全年链路可用率≥99.9%。</w:t>
            </w:r>
          </w:p>
          <w:p w14:paraId="1A185812">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lang w:val="en-US" w:eastAsia="zh-CN"/>
              </w:rPr>
              <w:t>4、链路保障：配套主备路由切换机制，链路故障自动切换，切换时长≤30秒，保障异地复制不长期中断。</w:t>
            </w:r>
          </w:p>
        </w:tc>
      </w:tr>
      <w:tr w14:paraId="40B5C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308" w:type="dxa"/>
          </w:tcPr>
          <w:p w14:paraId="2BFC6CF8">
            <w:pPr>
              <w:widowControl/>
              <w:jc w:val="center"/>
              <w:rPr>
                <w:rFonts w:hint="eastAsia" w:ascii="宋体" w:hAnsi="宋体" w:eastAsia="宋体"/>
                <w:lang w:val="en-US" w:eastAsia="zh-CN"/>
              </w:rPr>
            </w:pPr>
            <w:r>
              <w:rPr>
                <w:rFonts w:hint="eastAsia" w:ascii="宋体" w:hAnsi="宋体" w:eastAsia="宋体"/>
                <w:lang w:val="en-US" w:eastAsia="zh-CN"/>
              </w:rPr>
              <w:t>灾备机房技术要求</w:t>
            </w:r>
          </w:p>
        </w:tc>
        <w:tc>
          <w:tcPr>
            <w:tcW w:w="1788" w:type="dxa"/>
            <w:gridSpan w:val="2"/>
          </w:tcPr>
          <w:p w14:paraId="7E146373">
            <w:pPr>
              <w:widowControl/>
              <w:jc w:val="center"/>
              <w:rPr>
                <w:rFonts w:hint="default" w:ascii="宋体" w:hAnsi="宋体" w:eastAsia="宋体"/>
                <w:lang w:val="en-US" w:eastAsia="zh-CN"/>
              </w:rPr>
            </w:pPr>
            <w:r>
              <w:rPr>
                <w:rFonts w:hint="eastAsia" w:ascii="宋体" w:hAnsi="宋体" w:eastAsia="宋体"/>
                <w:lang w:val="en-US" w:eastAsia="zh-CN"/>
              </w:rPr>
              <w:t>灾备机房服务</w:t>
            </w:r>
          </w:p>
        </w:tc>
        <w:tc>
          <w:tcPr>
            <w:tcW w:w="6036" w:type="dxa"/>
            <w:vAlign w:val="center"/>
          </w:tcPr>
          <w:p w14:paraId="10ACD70D">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lang w:val="en-US" w:eastAsia="zh-CN"/>
              </w:rPr>
              <w:t>1、</w:t>
            </w:r>
            <w:r>
              <w:rPr>
                <w:rFonts w:hint="eastAsia" w:ascii="宋体" w:hAnsi="宋体" w:cs="宋体"/>
                <w:color w:val="auto"/>
                <w:lang w:val="en"/>
              </w:rPr>
              <w:t>▲</w:t>
            </w:r>
            <w:r>
              <w:rPr>
                <w:rFonts w:hint="eastAsia" w:ascii="宋体" w:hAnsi="宋体" w:eastAsia="宋体"/>
                <w:lang w:val="en-US" w:eastAsia="zh-CN"/>
              </w:rPr>
              <w:t>机房需符合数据中心可用性等级4A级，数据中心绿色等级5A级要求。</w:t>
            </w:r>
          </w:p>
          <w:p w14:paraId="26A10BEA">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lang w:val="en-US" w:eastAsia="zh-CN"/>
              </w:rPr>
              <w:t>2、提供标准不低于2U机柜机位。</w:t>
            </w:r>
          </w:p>
          <w:p w14:paraId="2BB51EA7">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lang w:val="en-US" w:eastAsia="zh-CN"/>
              </w:rPr>
              <w:t>3、供电条件：机房配置双路市电接入，配套 UPS 不间断电源，后备供电时长不低于30分钟。</w:t>
            </w:r>
          </w:p>
          <w:p w14:paraId="53956C88">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lang w:val="en-US" w:eastAsia="zh-CN"/>
              </w:rPr>
              <w:t>4、安防条件：机房配备独立门禁、7×24 小时视频监控、专人值守，机房出入记录留存时长不少于6个月。</w:t>
            </w:r>
          </w:p>
          <w:p w14:paraId="44BFCAAF">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lang w:val="en-US" w:eastAsia="zh-CN"/>
              </w:rPr>
            </w:pPr>
            <w:r>
              <w:rPr>
                <w:rFonts w:hint="eastAsia" w:ascii="宋体" w:hAnsi="宋体" w:eastAsia="宋体"/>
                <w:lang w:val="en-US" w:eastAsia="zh-CN"/>
              </w:rPr>
              <w:t>5、环境与消防：机房恒温恒湿控制在18℃-28℃，湿度 35%-75%，配套合规气体灭火消防系统。</w:t>
            </w:r>
          </w:p>
        </w:tc>
      </w:tr>
      <w:tr w14:paraId="4F4E4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308" w:type="dxa"/>
          </w:tcPr>
          <w:p w14:paraId="0D1255DE">
            <w:pPr>
              <w:widowControl/>
              <w:jc w:val="center"/>
              <w:rPr>
                <w:rFonts w:hint="default" w:ascii="宋体" w:hAnsi="宋体" w:eastAsia="宋体"/>
                <w:lang w:val="en-US" w:eastAsia="zh-CN"/>
              </w:rPr>
            </w:pPr>
            <w:r>
              <w:rPr>
                <w:rFonts w:hint="eastAsia" w:ascii="宋体" w:hAnsi="宋体" w:eastAsia="宋体"/>
                <w:lang w:val="en-US" w:eastAsia="zh-CN"/>
              </w:rPr>
              <w:t>服务期限</w:t>
            </w:r>
          </w:p>
        </w:tc>
        <w:tc>
          <w:tcPr>
            <w:tcW w:w="1788" w:type="dxa"/>
            <w:gridSpan w:val="2"/>
          </w:tcPr>
          <w:p w14:paraId="14ED0513">
            <w:pPr>
              <w:widowControl/>
              <w:jc w:val="center"/>
              <w:rPr>
                <w:rFonts w:hint="default" w:ascii="宋体" w:hAnsi="宋体" w:eastAsia="宋体"/>
                <w:lang w:val="en-US" w:eastAsia="zh-CN"/>
              </w:rPr>
            </w:pPr>
            <w:r>
              <w:rPr>
                <w:rFonts w:hint="eastAsia" w:ascii="宋体" w:hAnsi="宋体" w:eastAsia="宋体"/>
                <w:lang w:val="en-US" w:eastAsia="zh-CN"/>
              </w:rPr>
              <w:t>服务期限</w:t>
            </w:r>
          </w:p>
        </w:tc>
        <w:tc>
          <w:tcPr>
            <w:tcW w:w="6036" w:type="dxa"/>
            <w:vAlign w:val="center"/>
          </w:tcPr>
          <w:p w14:paraId="2EFCE7CA">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default" w:ascii="宋体" w:hAnsi="宋体" w:eastAsia="宋体"/>
                <w:lang w:val="en-US" w:eastAsia="zh-CN"/>
              </w:rPr>
            </w:pPr>
            <w:r>
              <w:rPr>
                <w:rFonts w:hint="eastAsia" w:ascii="宋体" w:hAnsi="宋体" w:eastAsia="宋体"/>
                <w:lang w:val="en-US" w:eastAsia="zh-CN"/>
              </w:rPr>
              <w:t>一年</w:t>
            </w:r>
          </w:p>
        </w:tc>
      </w:tr>
    </w:tbl>
    <w:p w14:paraId="4DF93336">
      <w:pPr>
        <w:widowControl/>
        <w:jc w:val="center"/>
        <w:rPr>
          <w:rFonts w:hint="eastAsia" w:ascii="宋体" w:hAnsi="宋体" w:eastAsia="宋体"/>
          <w:lang w:val="en-US" w:eastAsia="zh-CN"/>
        </w:rPr>
      </w:pPr>
    </w:p>
    <w:p w14:paraId="3E269B01">
      <w:pPr>
        <w:jc w:val="both"/>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48C8A6"/>
    <w:multiLevelType w:val="singleLevel"/>
    <w:tmpl w:val="D748C8A6"/>
    <w:lvl w:ilvl="0" w:tentative="0">
      <w:start w:val="1"/>
      <w:numFmt w:val="decimal"/>
      <w:suff w:val="nothing"/>
      <w:lvlText w:val="%1、"/>
      <w:lvlJc w:val="left"/>
    </w:lvl>
  </w:abstractNum>
  <w:abstractNum w:abstractNumId="1">
    <w:nsid w:val="75FF7EAA"/>
    <w:multiLevelType w:val="singleLevel"/>
    <w:tmpl w:val="75FF7EAA"/>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B976C0"/>
    <w:rsid w:val="01346526"/>
    <w:rsid w:val="018866A9"/>
    <w:rsid w:val="02084A3C"/>
    <w:rsid w:val="023F66B6"/>
    <w:rsid w:val="029562D6"/>
    <w:rsid w:val="052E6873"/>
    <w:rsid w:val="054D10EA"/>
    <w:rsid w:val="05D9297D"/>
    <w:rsid w:val="068F347F"/>
    <w:rsid w:val="076B1CFB"/>
    <w:rsid w:val="07A33243"/>
    <w:rsid w:val="07E13D6B"/>
    <w:rsid w:val="0809624A"/>
    <w:rsid w:val="084C5688"/>
    <w:rsid w:val="084E1AF7"/>
    <w:rsid w:val="09576E36"/>
    <w:rsid w:val="09A92C56"/>
    <w:rsid w:val="0ADF31CA"/>
    <w:rsid w:val="0C1A784C"/>
    <w:rsid w:val="0CEB23FC"/>
    <w:rsid w:val="0D012358"/>
    <w:rsid w:val="0D311640"/>
    <w:rsid w:val="0DEE1C63"/>
    <w:rsid w:val="0EE54141"/>
    <w:rsid w:val="1021564D"/>
    <w:rsid w:val="10606175"/>
    <w:rsid w:val="123D4902"/>
    <w:rsid w:val="13082AF4"/>
    <w:rsid w:val="137D5290"/>
    <w:rsid w:val="154D400E"/>
    <w:rsid w:val="15D962AE"/>
    <w:rsid w:val="16A843D2"/>
    <w:rsid w:val="170F4451"/>
    <w:rsid w:val="19141E66"/>
    <w:rsid w:val="195970F8"/>
    <w:rsid w:val="19B72B7E"/>
    <w:rsid w:val="1D9B6A3E"/>
    <w:rsid w:val="1F5350F7"/>
    <w:rsid w:val="1FA94F33"/>
    <w:rsid w:val="1FBC4A4A"/>
    <w:rsid w:val="204213F3"/>
    <w:rsid w:val="21D22AFE"/>
    <w:rsid w:val="22194E4C"/>
    <w:rsid w:val="223B29F7"/>
    <w:rsid w:val="22EC5646"/>
    <w:rsid w:val="238E494F"/>
    <w:rsid w:val="23FF25E7"/>
    <w:rsid w:val="24637B8A"/>
    <w:rsid w:val="24C70994"/>
    <w:rsid w:val="251946ED"/>
    <w:rsid w:val="25C97EC1"/>
    <w:rsid w:val="28953AB4"/>
    <w:rsid w:val="298C089E"/>
    <w:rsid w:val="2B567D97"/>
    <w:rsid w:val="2B940F71"/>
    <w:rsid w:val="2C6B3A80"/>
    <w:rsid w:val="2CA5739C"/>
    <w:rsid w:val="2CC47634"/>
    <w:rsid w:val="2CEB696E"/>
    <w:rsid w:val="2E0F4803"/>
    <w:rsid w:val="2FA2321B"/>
    <w:rsid w:val="305667F5"/>
    <w:rsid w:val="311A38FB"/>
    <w:rsid w:val="3168520A"/>
    <w:rsid w:val="32A825D1"/>
    <w:rsid w:val="32D14858"/>
    <w:rsid w:val="33093FF2"/>
    <w:rsid w:val="33D939C5"/>
    <w:rsid w:val="341D7D55"/>
    <w:rsid w:val="347656B7"/>
    <w:rsid w:val="34FA2740"/>
    <w:rsid w:val="369462C9"/>
    <w:rsid w:val="36E763F9"/>
    <w:rsid w:val="37041FD6"/>
    <w:rsid w:val="376046A0"/>
    <w:rsid w:val="39580388"/>
    <w:rsid w:val="3C8B53AB"/>
    <w:rsid w:val="3C8B7826"/>
    <w:rsid w:val="3C93597C"/>
    <w:rsid w:val="3CC84AF1"/>
    <w:rsid w:val="3DB15A99"/>
    <w:rsid w:val="3DE713D4"/>
    <w:rsid w:val="3E66679D"/>
    <w:rsid w:val="3E8F54D9"/>
    <w:rsid w:val="40D45C40"/>
    <w:rsid w:val="443E4D3F"/>
    <w:rsid w:val="444A6219"/>
    <w:rsid w:val="445D7CFA"/>
    <w:rsid w:val="47CA38F8"/>
    <w:rsid w:val="487321E2"/>
    <w:rsid w:val="48CD641C"/>
    <w:rsid w:val="49D96075"/>
    <w:rsid w:val="4B4C0AC8"/>
    <w:rsid w:val="4C6C1422"/>
    <w:rsid w:val="4D2C2AA8"/>
    <w:rsid w:val="4D4A1D28"/>
    <w:rsid w:val="4D5F4AE3"/>
    <w:rsid w:val="4D7D31BB"/>
    <w:rsid w:val="4DAB4BAF"/>
    <w:rsid w:val="4E571C5E"/>
    <w:rsid w:val="4EE43D92"/>
    <w:rsid w:val="4FF21C3E"/>
    <w:rsid w:val="500B2D00"/>
    <w:rsid w:val="502617E8"/>
    <w:rsid w:val="50355FCF"/>
    <w:rsid w:val="50680152"/>
    <w:rsid w:val="50C01C5E"/>
    <w:rsid w:val="548173AF"/>
    <w:rsid w:val="54F96BE1"/>
    <w:rsid w:val="55867CE8"/>
    <w:rsid w:val="570973EC"/>
    <w:rsid w:val="57782313"/>
    <w:rsid w:val="5A7476F4"/>
    <w:rsid w:val="5B220E4F"/>
    <w:rsid w:val="5B745BFD"/>
    <w:rsid w:val="5B9B6B7E"/>
    <w:rsid w:val="5BB33EF1"/>
    <w:rsid w:val="5E000947"/>
    <w:rsid w:val="5EBB2C44"/>
    <w:rsid w:val="5ECC5D50"/>
    <w:rsid w:val="5F2B0CC9"/>
    <w:rsid w:val="619D39D4"/>
    <w:rsid w:val="6220263B"/>
    <w:rsid w:val="648C045C"/>
    <w:rsid w:val="677F6056"/>
    <w:rsid w:val="68593A89"/>
    <w:rsid w:val="6860298C"/>
    <w:rsid w:val="68E819D9"/>
    <w:rsid w:val="69421A7E"/>
    <w:rsid w:val="6A535578"/>
    <w:rsid w:val="6B306C6A"/>
    <w:rsid w:val="6C0E2A1D"/>
    <w:rsid w:val="6C516F64"/>
    <w:rsid w:val="6C9E1319"/>
    <w:rsid w:val="6D8A12B0"/>
    <w:rsid w:val="6E0E76C9"/>
    <w:rsid w:val="6F5F2EAE"/>
    <w:rsid w:val="70C8281B"/>
    <w:rsid w:val="70D34D1C"/>
    <w:rsid w:val="7149093A"/>
    <w:rsid w:val="715C7408"/>
    <w:rsid w:val="71C747D9"/>
    <w:rsid w:val="71D945B4"/>
    <w:rsid w:val="726654DD"/>
    <w:rsid w:val="72B976C0"/>
    <w:rsid w:val="736C596A"/>
    <w:rsid w:val="740B2A1F"/>
    <w:rsid w:val="74273352"/>
    <w:rsid w:val="74F33BDF"/>
    <w:rsid w:val="7541206D"/>
    <w:rsid w:val="75812F99"/>
    <w:rsid w:val="769A787A"/>
    <w:rsid w:val="76B33626"/>
    <w:rsid w:val="781520BE"/>
    <w:rsid w:val="789E2D74"/>
    <w:rsid w:val="78A045C6"/>
    <w:rsid w:val="78CA2949"/>
    <w:rsid w:val="79E104AA"/>
    <w:rsid w:val="7B7172C8"/>
    <w:rsid w:val="7C7B1728"/>
    <w:rsid w:val="7D0C6095"/>
    <w:rsid w:val="7D140B97"/>
    <w:rsid w:val="7D336427"/>
    <w:rsid w:val="7ED44D8F"/>
    <w:rsid w:val="7F6F47AA"/>
    <w:rsid w:val="7F9047D2"/>
    <w:rsid w:val="7FA37F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szCs w:val="22"/>
    </w:rPr>
  </w:style>
  <w:style w:type="table" w:styleId="4">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2614</Words>
  <Characters>2810</Characters>
  <Lines>0</Lines>
  <Paragraphs>0</Paragraphs>
  <TotalTime>0</TotalTime>
  <ScaleCrop>false</ScaleCrop>
  <LinksUpToDate>false</LinksUpToDate>
  <CharactersWithSpaces>2820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2026-07-27T02:44:00Z</dcterms:created>
  <dc:creator>西门吹水</dc:creator>
  <cp:lastModifiedBy>强子</cp:lastModifiedBy>
  <dcterms:modified xsi:type="dcterms:W3CDTF">2026-08-06T00:37:12Z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04C7D8A65DC944388F663A813FF07A71_13</vt:lpwstr>
  </property>
  <property fmtid="{D5CDD505-2E9C-101B-9397-08002B2CF9AE}" pid="4" name="KSOTemplateDocerSaveRecord">
    <vt:lpwstr>eyJoZGlkIjoiZjIzNTFlODQ4MWVkNjQ2MDk5ODc5MDZjMjBlZjlkMGMiLCJ1c2VySWQiOiI1MTY4ODU5MjIifQ==</vt:lpwstr>
  </property>
  <property fmtid="{D5CDD505-2E9C-101B-9397-08002B2CF9AE}" pid="5" name="AIGC">
    <vt:lpwstr>{"Label":"1","ContentProducer":"001191110102MAD55U9H0F10002","ProduceID":"6aa9baf3-4e2b-4716-8add-60215fc43922","ReservedCode1":"18713ace-989c-4b88-ad86-4b6916c1225a","ContentPropagator":"001191110102MAD55U9H0F10002","PropagateID":"6aa9baf3-4e2b-4716-8add-60215fc43922","ReservedCode2":"18713ace-989c-4b88-ad86-4b6916c1225a"}</vt:lpwstr>
  </property>
</Properties>
</file>