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843E6">
      <w:pPr>
        <w:spacing w:line="300" w:lineRule="auto"/>
        <w:ind w:left="720" w:hanging="720"/>
        <w:jc w:val="center"/>
        <w:rPr>
          <w:rFonts w:hint="eastAsia" w:ascii="方正小标宋简体" w:hAnsi="方正小标宋简体" w:eastAsia="方正小标宋简体" w:cs="方正小标宋简体"/>
          <w:b/>
          <w:bCs/>
          <w:sz w:val="40"/>
          <w:szCs w:val="40"/>
        </w:rPr>
      </w:pPr>
      <w:r>
        <w:rPr>
          <w:rFonts w:hint="eastAsia" w:ascii="方正小标宋简体" w:hAnsi="方正小标宋简体" w:eastAsia="方正小标宋简体" w:cs="方正小标宋简体"/>
          <w:b/>
          <w:bCs/>
          <w:sz w:val="40"/>
          <w:szCs w:val="40"/>
        </w:rPr>
        <w:t>转化医学实验室科研计算GPU工作站市场调研参数</w:t>
      </w:r>
    </w:p>
    <w:p w14:paraId="301843E7">
      <w:pPr>
        <w:spacing w:after="0" w:line="300" w:lineRule="auto"/>
        <w:ind w:firstLine="480" w:firstLineChars="200"/>
        <w:jc w:val="both"/>
        <w:rPr>
          <w:rFonts w:ascii="Times New Roman" w:hAnsi="Times New Roman" w:eastAsia="宋体" w:cs="宋体"/>
          <w:sz w:val="24"/>
        </w:rPr>
      </w:pPr>
      <w:r>
        <w:rPr>
          <w:rFonts w:ascii="Times New Roman" w:hAnsi="Times New Roman" w:eastAsia="宋体" w:cs="宋体"/>
          <w:sz w:val="24"/>
        </w:rPr>
        <w:t>本项目采购需求表中带有“▲”技术参数及性能配置要求为实质性要求，内容必须满足或优于，否则响应无效。</w:t>
      </w:r>
      <w:bookmarkStart w:id="0" w:name="_GoBack"/>
      <w:bookmarkEnd w:id="0"/>
    </w:p>
    <w:p w14:paraId="301843E8">
      <w:pPr>
        <w:spacing w:after="0" w:line="280" w:lineRule="exact"/>
        <w:ind w:firstLine="480" w:firstLineChars="200"/>
        <w:jc w:val="both"/>
        <w:rPr>
          <w:rFonts w:ascii="Times New Roman" w:hAnsi="Times New Roman" w:eastAsia="宋体" w:cs="宋体"/>
          <w:sz w:val="24"/>
        </w:rPr>
      </w:pPr>
    </w:p>
    <w:p w14:paraId="301843E9">
      <w:pPr>
        <w:pStyle w:val="14"/>
        <w:numPr>
          <w:ilvl w:val="0"/>
          <w:numId w:val="1"/>
        </w:numPr>
        <w:spacing w:line="300" w:lineRule="auto"/>
        <w:ind w:firstLineChars="0"/>
        <w:jc w:val="both"/>
        <w:rPr>
          <w:rFonts w:ascii="Times New Roman" w:hAnsi="Times New Roman" w:eastAsia="宋体" w:cs="宋体"/>
          <w:b/>
          <w:bCs/>
          <w:sz w:val="24"/>
        </w:rPr>
      </w:pPr>
      <w:r>
        <w:rPr>
          <w:rFonts w:hint="eastAsia" w:ascii="Times New Roman" w:hAnsi="Times New Roman" w:eastAsia="宋体" w:cs="宋体"/>
          <w:b/>
          <w:bCs/>
          <w:sz w:val="24"/>
        </w:rPr>
        <w:t>科研计算GPU工作站 1台</w:t>
      </w:r>
    </w:p>
    <w:p w14:paraId="301843EA">
      <w:pPr>
        <w:pStyle w:val="14"/>
        <w:numPr>
          <w:ilvl w:val="0"/>
          <w:numId w:val="2"/>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w:t>
      </w:r>
      <w:r>
        <w:rPr>
          <w:rFonts w:hint="eastAsia" w:ascii="Times New Roman" w:hAnsi="Times New Roman" w:eastAsia="宋体" w:cs="宋体"/>
          <w:sz w:val="24"/>
        </w:rPr>
        <w:t>处理器：单</w:t>
      </w:r>
      <w:r>
        <w:rPr>
          <w:rFonts w:ascii="Times New Roman" w:hAnsi="Times New Roman" w:eastAsia="宋体" w:cs="宋体"/>
          <w:sz w:val="24"/>
        </w:rPr>
        <w:t>颗</w:t>
      </w:r>
      <w:r>
        <w:rPr>
          <w:rFonts w:hint="eastAsia" w:ascii="Times New Roman" w:hAnsi="Times New Roman" w:eastAsia="宋体" w:cs="宋体"/>
          <w:sz w:val="24"/>
        </w:rPr>
        <w:t>CPU</w:t>
      </w:r>
      <w:r>
        <w:rPr>
          <w:rFonts w:ascii="Times New Roman" w:hAnsi="Times New Roman" w:eastAsia="宋体" w:cs="宋体"/>
          <w:sz w:val="24"/>
        </w:rPr>
        <w:t>，单CPU</w:t>
      </w:r>
      <w:r>
        <w:rPr>
          <w:rFonts w:hint="eastAsia" w:ascii="Times New Roman" w:hAnsi="Times New Roman" w:eastAsia="宋体" w:cs="宋体"/>
          <w:sz w:val="24"/>
        </w:rPr>
        <w:t>具有至少32个物理核心和64个线程，</w:t>
      </w:r>
      <w:r>
        <w:rPr>
          <w:rFonts w:ascii="Times New Roman" w:hAnsi="Times New Roman" w:eastAsia="宋体" w:cs="宋体"/>
          <w:sz w:val="24"/>
        </w:rPr>
        <w:t>基准时钟频率≥2.</w:t>
      </w:r>
      <w:r>
        <w:rPr>
          <w:rFonts w:hint="eastAsia" w:ascii="Times New Roman" w:hAnsi="Times New Roman" w:eastAsia="宋体" w:cs="宋体"/>
          <w:sz w:val="24"/>
        </w:rPr>
        <w:t>0</w:t>
      </w:r>
      <w:r>
        <w:rPr>
          <w:rFonts w:ascii="Times New Roman" w:hAnsi="Times New Roman" w:eastAsia="宋体" w:cs="宋体"/>
          <w:sz w:val="24"/>
        </w:rPr>
        <w:t>GHz，最高加速时钟频率≥</w:t>
      </w:r>
      <w:r>
        <w:rPr>
          <w:rFonts w:hint="eastAsia" w:ascii="Times New Roman" w:hAnsi="Times New Roman" w:eastAsia="宋体" w:cs="宋体"/>
          <w:sz w:val="24"/>
        </w:rPr>
        <w:t>4.0</w:t>
      </w:r>
      <w:r>
        <w:rPr>
          <w:rFonts w:ascii="Times New Roman" w:hAnsi="Times New Roman" w:eastAsia="宋体" w:cs="宋体"/>
          <w:sz w:val="24"/>
        </w:rPr>
        <w:t>GHz，L3缓存容量≥</w:t>
      </w:r>
      <w:r>
        <w:rPr>
          <w:rFonts w:hint="eastAsia" w:ascii="Times New Roman" w:hAnsi="Times New Roman" w:eastAsia="宋体" w:cs="宋体"/>
          <w:sz w:val="24"/>
        </w:rPr>
        <w:t>15</w:t>
      </w:r>
      <w:r>
        <w:rPr>
          <w:rFonts w:ascii="Times New Roman" w:hAnsi="Times New Roman" w:eastAsia="宋体" w:cs="宋体"/>
          <w:sz w:val="24"/>
        </w:rPr>
        <w:t>0MB</w:t>
      </w:r>
      <w:r>
        <w:rPr>
          <w:rFonts w:hint="eastAsia" w:ascii="Times New Roman" w:hAnsi="Times New Roman" w:eastAsia="宋体" w:cs="宋体"/>
          <w:sz w:val="24"/>
        </w:rPr>
        <w:t>；</w:t>
      </w:r>
    </w:p>
    <w:p w14:paraId="301843EB">
      <w:pPr>
        <w:pStyle w:val="14"/>
        <w:numPr>
          <w:ilvl w:val="0"/>
          <w:numId w:val="2"/>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w:t>
      </w:r>
      <w:r>
        <w:rPr>
          <w:rFonts w:hint="eastAsia" w:ascii="Times New Roman" w:hAnsi="Times New Roman" w:eastAsia="宋体" w:cs="宋体"/>
          <w:sz w:val="24"/>
        </w:rPr>
        <w:t>GPU模块：</w:t>
      </w:r>
      <w:r>
        <w:rPr>
          <w:rFonts w:ascii="Times New Roman" w:hAnsi="Times New Roman" w:eastAsia="宋体" w:cs="宋体"/>
          <w:sz w:val="24"/>
        </w:rPr>
        <w:t>单节点配置≥2张GPU计算加速模块。单卡显存容量≥</w:t>
      </w:r>
      <w:r>
        <w:rPr>
          <w:rFonts w:hint="eastAsia" w:ascii="Times New Roman" w:hAnsi="Times New Roman" w:eastAsia="宋体" w:cs="宋体"/>
          <w:sz w:val="24"/>
        </w:rPr>
        <w:t>70</w:t>
      </w:r>
      <w:r>
        <w:rPr>
          <w:rFonts w:ascii="Times New Roman" w:hAnsi="Times New Roman" w:eastAsia="宋体" w:cs="宋体"/>
          <w:sz w:val="24"/>
        </w:rPr>
        <w:t>GB，显存支持ECC或等效纠错保护机制，显存带宽≥</w:t>
      </w:r>
      <w:r>
        <w:rPr>
          <w:rFonts w:hint="eastAsia" w:ascii="Times New Roman" w:hAnsi="Times New Roman" w:eastAsia="宋体" w:cs="宋体"/>
          <w:sz w:val="24"/>
        </w:rPr>
        <w:t>13</w:t>
      </w:r>
      <w:r>
        <w:rPr>
          <w:rFonts w:ascii="Times New Roman" w:hAnsi="Times New Roman" w:eastAsia="宋体" w:cs="宋体"/>
          <w:sz w:val="24"/>
        </w:rPr>
        <w:t>00GB/s；FP4 Tensor Core</w:t>
      </w:r>
      <w:r>
        <w:rPr>
          <w:rFonts w:hint="eastAsia" w:ascii="Times New Roman" w:hAnsi="Times New Roman" w:eastAsia="宋体" w:cs="宋体"/>
          <w:sz w:val="24"/>
        </w:rPr>
        <w:t>有效峰值</w:t>
      </w:r>
      <w:r>
        <w:rPr>
          <w:rFonts w:ascii="Times New Roman" w:hAnsi="Times New Roman" w:eastAsia="宋体" w:cs="宋体"/>
          <w:sz w:val="24"/>
        </w:rPr>
        <w:t>性能≥</w:t>
      </w:r>
      <w:r>
        <w:rPr>
          <w:rFonts w:hint="eastAsia" w:ascii="Times New Roman" w:hAnsi="Times New Roman" w:eastAsia="宋体" w:cs="宋体"/>
          <w:sz w:val="24"/>
        </w:rPr>
        <w:t>200</w:t>
      </w:r>
      <w:r>
        <w:rPr>
          <w:rFonts w:ascii="Times New Roman" w:hAnsi="Times New Roman" w:eastAsia="宋体" w:cs="宋体"/>
          <w:sz w:val="24"/>
        </w:rPr>
        <w:t>0</w:t>
      </w:r>
      <w:r>
        <w:rPr>
          <w:rFonts w:hint="eastAsia"/>
        </w:rPr>
        <w:t xml:space="preserve"> </w:t>
      </w:r>
      <w:r>
        <w:rPr>
          <w:rFonts w:ascii="Times New Roman" w:hAnsi="Times New Roman" w:eastAsia="宋体" w:cs="宋体"/>
          <w:sz w:val="24"/>
        </w:rPr>
        <w:t>TOPS；</w:t>
      </w:r>
      <w:r>
        <w:rPr>
          <w:rFonts w:hint="eastAsia" w:ascii="Times New Roman" w:hAnsi="Times New Roman" w:eastAsia="宋体" w:cs="宋体"/>
          <w:sz w:val="24"/>
        </w:rPr>
        <w:t>单块GPU</w:t>
      </w:r>
      <w:r>
        <w:rPr>
          <w:rFonts w:ascii="Times New Roman" w:hAnsi="Times New Roman" w:eastAsia="宋体" w:cs="宋体"/>
          <w:sz w:val="24"/>
        </w:rPr>
        <w:t>最大板卡</w:t>
      </w:r>
      <w:r>
        <w:rPr>
          <w:rFonts w:hint="eastAsia" w:ascii="Times New Roman" w:hAnsi="Times New Roman" w:eastAsia="宋体" w:cs="宋体"/>
          <w:sz w:val="24"/>
        </w:rPr>
        <w:t>功耗</w:t>
      </w:r>
      <w:r>
        <w:rPr>
          <w:rFonts w:ascii="Times New Roman" w:hAnsi="Times New Roman" w:eastAsia="宋体" w:cs="宋体"/>
          <w:sz w:val="24"/>
        </w:rPr>
        <w:t>≤</w:t>
      </w:r>
      <w:r>
        <w:rPr>
          <w:rFonts w:hint="eastAsia" w:ascii="Times New Roman" w:hAnsi="Times New Roman" w:eastAsia="宋体" w:cs="宋体"/>
          <w:sz w:val="24"/>
        </w:rPr>
        <w:t>500W，</w:t>
      </w:r>
      <w:r>
        <w:rPr>
          <w:rFonts w:ascii="Times New Roman" w:hAnsi="Times New Roman" w:eastAsia="宋体" w:cs="宋体"/>
          <w:sz w:val="24"/>
        </w:rPr>
        <w:t>适配</w:t>
      </w:r>
      <w:r>
        <w:rPr>
          <w:rFonts w:hint="eastAsia" w:ascii="Times New Roman" w:hAnsi="Times New Roman" w:eastAsia="宋体" w:cs="宋体"/>
          <w:sz w:val="24"/>
        </w:rPr>
        <w:t>机箱</w:t>
      </w:r>
      <w:r>
        <w:rPr>
          <w:rFonts w:ascii="Times New Roman" w:hAnsi="Times New Roman" w:eastAsia="宋体" w:cs="宋体"/>
          <w:sz w:val="24"/>
        </w:rPr>
        <w:t>散热与供电设计，支持Linux环境下主流AI、深度学习、图形计算及科学计算框架。</w:t>
      </w:r>
    </w:p>
    <w:p w14:paraId="301843EC">
      <w:pPr>
        <w:pStyle w:val="14"/>
        <w:numPr>
          <w:ilvl w:val="0"/>
          <w:numId w:val="2"/>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w:t>
      </w:r>
      <w:r>
        <w:rPr>
          <w:rFonts w:hint="eastAsia" w:ascii="Times New Roman" w:hAnsi="Times New Roman" w:eastAsia="宋体" w:cs="宋体"/>
          <w:sz w:val="24"/>
        </w:rPr>
        <w:t>内存：</w:t>
      </w:r>
      <w:r>
        <w:rPr>
          <w:rFonts w:ascii="Times New Roman" w:hAnsi="Times New Roman" w:eastAsia="宋体" w:cs="宋体"/>
          <w:sz w:val="24"/>
        </w:rPr>
        <w:t>配置DDR5 RECC内存，总容量≥</w:t>
      </w:r>
      <w:r>
        <w:rPr>
          <w:rFonts w:hint="eastAsia" w:ascii="Times New Roman" w:hAnsi="Times New Roman" w:eastAsia="宋体" w:cs="宋体"/>
          <w:sz w:val="24"/>
        </w:rPr>
        <w:t>256</w:t>
      </w:r>
      <w:r>
        <w:rPr>
          <w:rFonts w:ascii="Times New Roman" w:hAnsi="Times New Roman" w:eastAsia="宋体" w:cs="宋体"/>
          <w:sz w:val="24"/>
        </w:rPr>
        <w:t>GB，内存配置须充分匹配所投CPU平台的内存通道架构，整机内存条数量不得少于</w:t>
      </w:r>
      <w:r>
        <w:rPr>
          <w:rFonts w:hint="eastAsia" w:ascii="Times New Roman" w:hAnsi="Times New Roman" w:eastAsia="宋体" w:cs="宋体"/>
          <w:sz w:val="24"/>
        </w:rPr>
        <w:t>设备中所有</w:t>
      </w:r>
      <w:r>
        <w:rPr>
          <w:rFonts w:ascii="Times New Roman" w:hAnsi="Times New Roman" w:eastAsia="宋体" w:cs="宋体"/>
          <w:sz w:val="24"/>
        </w:rPr>
        <w:t>CPU的总内存通道数，且每个CPU的各内存通道均应至少配置1条内存。单条内存容量≥32GB，工作频率≥4800</w:t>
      </w:r>
      <w:r>
        <w:rPr>
          <w:rFonts w:hint="eastAsia" w:ascii="Times New Roman" w:hAnsi="Times New Roman" w:eastAsia="宋体" w:cs="宋体"/>
          <w:sz w:val="24"/>
        </w:rPr>
        <w:t xml:space="preserve"> </w:t>
      </w:r>
      <w:r>
        <w:rPr>
          <w:rFonts w:ascii="Times New Roman" w:hAnsi="Times New Roman" w:eastAsia="宋体" w:cs="宋体"/>
          <w:sz w:val="24"/>
        </w:rPr>
        <w:t>MT/s</w:t>
      </w:r>
      <w:r>
        <w:rPr>
          <w:rFonts w:hint="eastAsia" w:ascii="Times New Roman" w:hAnsi="Times New Roman" w:eastAsia="宋体" w:cs="宋体"/>
          <w:sz w:val="24"/>
        </w:rPr>
        <w:t>。</w:t>
      </w:r>
    </w:p>
    <w:p w14:paraId="301843ED">
      <w:pPr>
        <w:pStyle w:val="14"/>
        <w:numPr>
          <w:ilvl w:val="0"/>
          <w:numId w:val="2"/>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w:t>
      </w:r>
      <w:r>
        <w:rPr>
          <w:rFonts w:hint="eastAsia" w:ascii="Times New Roman" w:hAnsi="Times New Roman" w:eastAsia="宋体" w:cs="宋体"/>
          <w:sz w:val="24"/>
        </w:rPr>
        <w:t>存储：支持</w:t>
      </w:r>
      <w:r>
        <w:rPr>
          <w:rFonts w:ascii="Times New Roman" w:hAnsi="Times New Roman" w:eastAsia="宋体" w:cs="宋体"/>
          <w:sz w:val="24"/>
        </w:rPr>
        <w:t>2.5寸热插拔硬盘≥</w:t>
      </w:r>
      <w:r>
        <w:rPr>
          <w:rFonts w:hint="eastAsia" w:ascii="Times New Roman" w:hAnsi="Times New Roman" w:eastAsia="宋体" w:cs="宋体"/>
          <w:sz w:val="24"/>
        </w:rPr>
        <w:t>6个；</w:t>
      </w:r>
      <w:r>
        <w:rPr>
          <w:rFonts w:ascii="Times New Roman" w:hAnsi="Times New Roman" w:eastAsia="宋体" w:cs="宋体"/>
          <w:sz w:val="24"/>
        </w:rPr>
        <w:t>配置不少于2组企业级</w:t>
      </w:r>
      <w:r>
        <w:rPr>
          <w:rFonts w:hint="eastAsia" w:ascii="Times New Roman" w:hAnsi="Times New Roman" w:eastAsia="宋体" w:cs="宋体"/>
          <w:sz w:val="24"/>
        </w:rPr>
        <w:t>固态硬盘</w:t>
      </w:r>
      <w:r>
        <w:rPr>
          <w:rFonts w:ascii="Times New Roman" w:hAnsi="Times New Roman" w:eastAsia="宋体" w:cs="宋体"/>
          <w:sz w:val="24"/>
        </w:rPr>
        <w:t>。系统盘容量≥960GB×2，组建RAID1；数据盘容量≥7.68TB×2，</w:t>
      </w:r>
      <w:r>
        <w:rPr>
          <w:rFonts w:hint="eastAsia" w:ascii="Times New Roman" w:hAnsi="Times New Roman" w:eastAsia="宋体" w:cs="宋体"/>
          <w:sz w:val="24"/>
        </w:rPr>
        <w:t>数据盘</w:t>
      </w:r>
      <w:r>
        <w:rPr>
          <w:rFonts w:ascii="Times New Roman" w:hAnsi="Times New Roman" w:eastAsia="宋体" w:cs="宋体"/>
          <w:sz w:val="24"/>
        </w:rPr>
        <w:t>接口协议应为原生NVM</w:t>
      </w:r>
      <w:r>
        <w:rPr>
          <w:rFonts w:hint="eastAsia" w:ascii="Times New Roman" w:hAnsi="Times New Roman" w:eastAsia="宋体" w:cs="宋体"/>
          <w:sz w:val="24"/>
        </w:rPr>
        <w:t>E，不得使用转接方案替代</w:t>
      </w:r>
      <w:r>
        <w:rPr>
          <w:rFonts w:ascii="Times New Roman" w:hAnsi="Times New Roman" w:eastAsia="宋体" w:cs="宋体"/>
          <w:sz w:val="24"/>
        </w:rPr>
        <w:t>。SSD采用TLC或更高级别NAND闪存，支持企业级数据保护机制</w:t>
      </w:r>
      <w:r>
        <w:rPr>
          <w:rFonts w:hint="eastAsia" w:ascii="Times New Roman" w:hAnsi="Times New Roman" w:eastAsia="宋体" w:cs="宋体"/>
          <w:sz w:val="24"/>
        </w:rPr>
        <w:t>。</w:t>
      </w:r>
      <w:r>
        <w:rPr>
          <w:rFonts w:ascii="Times New Roman" w:hAnsi="Times New Roman" w:eastAsia="宋体" w:cs="宋体"/>
          <w:sz w:val="24"/>
        </w:rPr>
        <w:t>960GB级SSD写入寿命≥1PBW，数据盘写入寿命应满足同等级企业级SSD要求。</w:t>
      </w:r>
    </w:p>
    <w:p w14:paraId="301843EE">
      <w:pPr>
        <w:pStyle w:val="14"/>
        <w:numPr>
          <w:ilvl w:val="0"/>
          <w:numId w:val="2"/>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▲RAID控制器：</w:t>
      </w:r>
      <w:r>
        <w:rPr>
          <w:rFonts w:hint="eastAsia" w:ascii="Times New Roman" w:hAnsi="Times New Roman" w:eastAsia="宋体" w:cs="宋体"/>
          <w:sz w:val="24"/>
        </w:rPr>
        <w:t>配备</w:t>
      </w:r>
      <w:r>
        <w:rPr>
          <w:rFonts w:ascii="Times New Roman" w:hAnsi="Times New Roman" w:eastAsia="宋体" w:cs="宋体"/>
          <w:sz w:val="24"/>
        </w:rPr>
        <w:t>独立硬件RAID控制器，缓存至少支持SATA/SAS 1GB缓存阵列卡</w:t>
      </w:r>
      <w:r>
        <w:rPr>
          <w:rFonts w:hint="eastAsia" w:ascii="Times New Roman" w:hAnsi="Times New Roman" w:eastAsia="宋体" w:cs="宋体"/>
          <w:sz w:val="24"/>
        </w:rPr>
        <w:t>，</w:t>
      </w:r>
      <w:r>
        <w:rPr>
          <w:rFonts w:ascii="Times New Roman" w:hAnsi="Times New Roman" w:eastAsia="宋体" w:cs="宋体"/>
          <w:sz w:val="24"/>
        </w:rPr>
        <w:t>支持RAID 0/1等模式，故障告警及阵列状态监控</w:t>
      </w:r>
      <w:r>
        <w:rPr>
          <w:rFonts w:hint="eastAsia" w:ascii="Times New Roman" w:hAnsi="Times New Roman" w:eastAsia="宋体" w:cs="宋体"/>
          <w:sz w:val="24"/>
        </w:rPr>
        <w:t>；</w:t>
      </w:r>
    </w:p>
    <w:p w14:paraId="301843EF">
      <w:pPr>
        <w:pStyle w:val="14"/>
        <w:numPr>
          <w:ilvl w:val="0"/>
          <w:numId w:val="2"/>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w:t>
      </w:r>
      <w:r>
        <w:rPr>
          <w:rFonts w:hint="eastAsia" w:ascii="Times New Roman" w:hAnsi="Times New Roman" w:eastAsia="宋体" w:cs="宋体"/>
          <w:sz w:val="24"/>
        </w:rPr>
        <w:t>供电：配备不低于2000W的1+1冗余供电模块；</w:t>
      </w:r>
    </w:p>
    <w:p w14:paraId="301843F0">
      <w:pPr>
        <w:pStyle w:val="14"/>
        <w:numPr>
          <w:ilvl w:val="0"/>
          <w:numId w:val="2"/>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w:t>
      </w:r>
      <w:r>
        <w:rPr>
          <w:rFonts w:hint="eastAsia" w:ascii="Times New Roman" w:hAnsi="Times New Roman" w:eastAsia="宋体" w:cs="宋体"/>
          <w:sz w:val="24"/>
        </w:rPr>
        <w:t>网络：</w:t>
      </w:r>
      <w:r>
        <w:rPr>
          <w:rFonts w:ascii="Times New Roman" w:hAnsi="Times New Roman" w:eastAsia="宋体" w:cs="宋体"/>
          <w:sz w:val="24"/>
        </w:rPr>
        <w:t>配置</w:t>
      </w:r>
      <w:r>
        <w:rPr>
          <w:rFonts w:hint="eastAsia" w:ascii="Times New Roman" w:hAnsi="Times New Roman" w:eastAsia="宋体" w:cs="宋体"/>
          <w:sz w:val="24"/>
        </w:rPr>
        <w:t xml:space="preserve"> </w:t>
      </w:r>
      <w:r>
        <w:rPr>
          <w:rFonts w:ascii="Times New Roman" w:hAnsi="Times New Roman" w:eastAsia="宋体" w:cs="宋体"/>
          <w:sz w:val="24"/>
        </w:rPr>
        <w:t>≥2个10GbE SFP+光口和</w:t>
      </w:r>
      <w:r>
        <w:rPr>
          <w:rFonts w:hint="eastAsia" w:ascii="Times New Roman" w:hAnsi="Times New Roman" w:eastAsia="宋体" w:cs="宋体"/>
          <w:sz w:val="24"/>
        </w:rPr>
        <w:t xml:space="preserve"> </w:t>
      </w:r>
      <w:r>
        <w:rPr>
          <w:rFonts w:ascii="Times New Roman" w:hAnsi="Times New Roman" w:eastAsia="宋体" w:cs="宋体"/>
          <w:sz w:val="24"/>
        </w:rPr>
        <w:t>≥2个25GbE SFP28光口，含相应光模块及现场部署所需光纤跳线</w:t>
      </w:r>
      <w:r>
        <w:rPr>
          <w:rFonts w:hint="eastAsia" w:ascii="Times New Roman" w:hAnsi="Times New Roman" w:eastAsia="宋体" w:cs="宋体"/>
          <w:sz w:val="24"/>
        </w:rPr>
        <w:t>（两根不少于30米，含光纤跳线与交换机连接光模块）</w:t>
      </w:r>
      <w:r>
        <w:rPr>
          <w:rFonts w:ascii="Times New Roman" w:hAnsi="Times New Roman" w:eastAsia="宋体" w:cs="宋体"/>
          <w:sz w:val="24"/>
        </w:rPr>
        <w:t>，与配套交换设备兼容</w:t>
      </w:r>
      <w:r>
        <w:rPr>
          <w:rFonts w:hint="eastAsia" w:ascii="Times New Roman" w:hAnsi="Times New Roman" w:eastAsia="宋体" w:cs="宋体"/>
          <w:sz w:val="24"/>
        </w:rPr>
        <w:t>；</w:t>
      </w:r>
    </w:p>
    <w:p w14:paraId="301843F1">
      <w:pPr>
        <w:pStyle w:val="14"/>
        <w:numPr>
          <w:ilvl w:val="0"/>
          <w:numId w:val="2"/>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w:t>
      </w:r>
      <w:r>
        <w:rPr>
          <w:rFonts w:hint="eastAsia" w:ascii="Times New Roman" w:hAnsi="Times New Roman" w:eastAsia="宋体" w:cs="宋体"/>
          <w:sz w:val="24"/>
        </w:rPr>
        <w:t>规格：</w:t>
      </w:r>
      <w:r>
        <w:rPr>
          <w:rFonts w:ascii="Times New Roman" w:hAnsi="Times New Roman" w:eastAsia="宋体" w:cs="宋体"/>
          <w:sz w:val="24"/>
        </w:rPr>
        <w:t>标配原厂导轨</w:t>
      </w:r>
      <w:r>
        <w:rPr>
          <w:rFonts w:hint="eastAsia" w:ascii="Times New Roman" w:hAnsi="Times New Roman" w:eastAsia="宋体" w:cs="宋体"/>
          <w:sz w:val="24"/>
        </w:rPr>
        <w:t>，</w:t>
      </w:r>
      <w:r>
        <w:rPr>
          <w:rFonts w:ascii="Times New Roman" w:hAnsi="Times New Roman" w:eastAsia="宋体" w:cs="宋体"/>
          <w:sz w:val="24"/>
        </w:rPr>
        <w:t>可安装于标准机柜，整机散热、供电和扩展能力须通过原厂兼容性验证</w:t>
      </w:r>
      <w:r>
        <w:rPr>
          <w:rFonts w:hint="eastAsia" w:ascii="Times New Roman" w:hAnsi="Times New Roman" w:eastAsia="宋体" w:cs="宋体"/>
          <w:sz w:val="24"/>
        </w:rPr>
        <w:t>；</w:t>
      </w:r>
    </w:p>
    <w:p w14:paraId="301843F2">
      <w:pPr>
        <w:pStyle w:val="14"/>
        <w:numPr>
          <w:ilvl w:val="0"/>
          <w:numId w:val="2"/>
        </w:numPr>
        <w:spacing w:line="300" w:lineRule="auto"/>
        <w:ind w:firstLineChars="0"/>
        <w:jc w:val="both"/>
        <w:rPr>
          <w:rFonts w:ascii="Times New Roman" w:hAnsi="Times New Roman" w:eastAsia="宋体" w:cs="宋体"/>
          <w:sz w:val="24"/>
        </w:rPr>
      </w:pPr>
      <w:r>
        <w:rPr>
          <w:rFonts w:hint="eastAsia" w:ascii="Times New Roman" w:hAnsi="Times New Roman" w:eastAsia="宋体" w:cs="宋体"/>
          <w:color w:val="000000" w:themeColor="text1"/>
          <w:kern w:val="0"/>
          <w:sz w:val="24"/>
          <w14:textFill>
            <w14:solidFill>
              <w14:schemeClr w14:val="tx1"/>
            </w14:solidFill>
          </w14:textFill>
        </w:rPr>
        <w:t>操作系统：</w:t>
      </w:r>
      <w:r>
        <w:rPr>
          <w:rFonts w:ascii="Times New Roman" w:hAnsi="Times New Roman" w:eastAsia="宋体" w:cs="宋体"/>
          <w:color w:val="000000" w:themeColor="text1"/>
          <w:kern w:val="0"/>
          <w:sz w:val="24"/>
          <w14:textFill>
            <w14:solidFill>
              <w14:schemeClr w14:val="tx1"/>
            </w14:solidFill>
          </w14:textFill>
        </w:rPr>
        <w:t>支持</w:t>
      </w:r>
      <w:r>
        <w:rPr>
          <w:rFonts w:hint="eastAsia" w:ascii="Times New Roman" w:hAnsi="Times New Roman" w:eastAsia="宋体" w:cs="宋体"/>
          <w:color w:val="000000" w:themeColor="text1"/>
          <w:kern w:val="0"/>
          <w:sz w:val="24"/>
          <w14:textFill>
            <w14:solidFill>
              <w14:schemeClr w14:val="tx1"/>
            </w14:solidFill>
          </w14:textFill>
        </w:rPr>
        <w:t>安装Red Hat Linux、Ubuntu等指定分发</w:t>
      </w:r>
      <w:r>
        <w:rPr>
          <w:rFonts w:ascii="Times New Roman" w:hAnsi="Times New Roman" w:eastAsia="宋体" w:cs="宋体"/>
          <w:color w:val="000000" w:themeColor="text1"/>
          <w:kern w:val="0"/>
          <w:sz w:val="24"/>
          <w14:textFill>
            <w14:solidFill>
              <w14:schemeClr w14:val="tx1"/>
            </w14:solidFill>
          </w14:textFill>
        </w:rPr>
        <w:t>版本Linux操作系统</w:t>
      </w:r>
      <w:r>
        <w:rPr>
          <w:rFonts w:hint="eastAsia" w:ascii="Times New Roman" w:hAnsi="Times New Roman" w:eastAsia="宋体" w:cs="宋体"/>
          <w:color w:val="000000" w:themeColor="text1"/>
          <w:kern w:val="0"/>
          <w:sz w:val="24"/>
          <w14:textFill>
            <w14:solidFill>
              <w14:schemeClr w14:val="tx1"/>
            </w14:solidFill>
          </w14:textFill>
        </w:rPr>
        <w:t>。</w:t>
      </w:r>
    </w:p>
    <w:p w14:paraId="301843F4">
      <w:pPr>
        <w:spacing w:line="300" w:lineRule="auto"/>
        <w:jc w:val="both"/>
        <w:rPr>
          <w:rFonts w:ascii="Times New Roman" w:hAnsi="Times New Roman" w:eastAsia="宋体" w:cs="宋体"/>
          <w:sz w:val="24"/>
        </w:rPr>
      </w:pPr>
    </w:p>
    <w:p w14:paraId="301843F5">
      <w:pPr>
        <w:pStyle w:val="14"/>
        <w:numPr>
          <w:ilvl w:val="0"/>
          <w:numId w:val="1"/>
        </w:numPr>
        <w:spacing w:line="300" w:lineRule="auto"/>
        <w:ind w:firstLineChars="0"/>
        <w:jc w:val="both"/>
        <w:rPr>
          <w:rFonts w:ascii="Times New Roman" w:hAnsi="Times New Roman" w:eastAsia="宋体" w:cs="宋体"/>
          <w:b/>
          <w:bCs/>
          <w:sz w:val="24"/>
        </w:rPr>
      </w:pPr>
      <w:r>
        <w:rPr>
          <w:rFonts w:ascii="Times New Roman" w:hAnsi="Times New Roman" w:eastAsia="宋体" w:cs="宋体"/>
          <w:b/>
          <w:bCs/>
          <w:sz w:val="24"/>
        </w:rPr>
        <w:t>GPU计算环境测试工作站</w:t>
      </w:r>
      <w:r>
        <w:rPr>
          <w:rFonts w:hint="eastAsia" w:ascii="Times New Roman" w:hAnsi="Times New Roman" w:eastAsia="宋体" w:cs="宋体"/>
          <w:b/>
          <w:bCs/>
          <w:sz w:val="24"/>
        </w:rPr>
        <w:t xml:space="preserve"> 1台</w:t>
      </w:r>
    </w:p>
    <w:p w14:paraId="0437952A">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1.</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处理器：桌面级CPU</w:t>
      </w:r>
      <w:r>
        <w:rPr>
          <w:rFonts w:ascii="Times New Roman" w:hAnsi="Times New Roman" w:eastAsia="宋体" w:cs="宋体"/>
          <w:sz w:val="24"/>
        </w:rPr>
        <w:t>，单CPU</w:t>
      </w:r>
      <w:r>
        <w:rPr>
          <w:rFonts w:hint="eastAsia" w:ascii="Times New Roman" w:hAnsi="Times New Roman" w:eastAsia="宋体" w:cs="宋体"/>
          <w:sz w:val="24"/>
        </w:rPr>
        <w:t>具有至少24个物理核心，各</w:t>
      </w:r>
      <w:r>
        <w:rPr>
          <w:rFonts w:ascii="Times New Roman" w:hAnsi="Times New Roman" w:eastAsia="宋体" w:cs="宋体"/>
          <w:sz w:val="24"/>
        </w:rPr>
        <w:t>核心的基础频率均≥3.2GHz，最高加速时钟频率≥</w:t>
      </w:r>
      <w:r>
        <w:rPr>
          <w:rFonts w:hint="eastAsia" w:ascii="Times New Roman" w:hAnsi="Times New Roman" w:eastAsia="宋体" w:cs="宋体"/>
          <w:sz w:val="24"/>
        </w:rPr>
        <w:t>5.2</w:t>
      </w:r>
      <w:r>
        <w:rPr>
          <w:rFonts w:ascii="Times New Roman" w:hAnsi="Times New Roman" w:eastAsia="宋体" w:cs="宋体"/>
          <w:sz w:val="24"/>
        </w:rPr>
        <w:t>GHz，L3缓存容量≥</w:t>
      </w:r>
      <w:r>
        <w:rPr>
          <w:rFonts w:hint="eastAsia" w:ascii="Times New Roman" w:hAnsi="Times New Roman" w:eastAsia="宋体" w:cs="宋体"/>
          <w:sz w:val="24"/>
        </w:rPr>
        <w:t>30</w:t>
      </w:r>
      <w:r>
        <w:rPr>
          <w:rFonts w:ascii="Times New Roman" w:hAnsi="Times New Roman" w:eastAsia="宋体" w:cs="宋体"/>
          <w:sz w:val="24"/>
        </w:rPr>
        <w:t>MB</w:t>
      </w:r>
      <w:r>
        <w:rPr>
          <w:rFonts w:hint="eastAsia" w:ascii="Times New Roman" w:hAnsi="Times New Roman" w:eastAsia="宋体" w:cs="宋体"/>
          <w:sz w:val="24"/>
        </w:rPr>
        <w:t>，</w:t>
      </w:r>
      <w:r>
        <w:rPr>
          <w:rFonts w:ascii="Times New Roman" w:hAnsi="Times New Roman" w:eastAsia="宋体" w:cs="宋体"/>
          <w:sz w:val="24"/>
        </w:rPr>
        <w:t>具备集成显示功能</w:t>
      </w:r>
      <w:r>
        <w:rPr>
          <w:rFonts w:hint="eastAsia" w:ascii="Times New Roman" w:hAnsi="Times New Roman" w:eastAsia="宋体" w:cs="宋体"/>
          <w:sz w:val="24"/>
        </w:rPr>
        <w:t>；</w:t>
      </w:r>
    </w:p>
    <w:p w14:paraId="636227F9">
      <w:pPr>
        <w:pStyle w:val="14"/>
        <w:numPr>
          <w:ilvl w:val="0"/>
          <w:numId w:val="3"/>
        </w:numPr>
        <w:spacing w:line="300" w:lineRule="auto"/>
        <w:ind w:left="480" w:hanging="480" w:hangingChars="200"/>
        <w:jc w:val="both"/>
        <w:rPr>
          <w:rFonts w:ascii="Times New Roman" w:hAnsi="Times New Roman" w:eastAsia="宋体" w:cs="宋体"/>
          <w:sz w:val="24"/>
        </w:rPr>
      </w:pPr>
      <w:r>
        <w:rPr>
          <w:rFonts w:ascii="Times New Roman" w:hAnsi="Times New Roman" w:eastAsia="宋体" w:cs="宋体"/>
          <w:sz w:val="24"/>
        </w:rPr>
        <w:t>▲</w:t>
      </w:r>
      <w:r>
        <w:rPr>
          <w:rFonts w:hint="eastAsia" w:ascii="Times New Roman" w:hAnsi="Times New Roman" w:eastAsia="宋体" w:cs="宋体"/>
          <w:sz w:val="24"/>
        </w:rPr>
        <w:t>GPU</w:t>
      </w:r>
      <w:r>
        <w:rPr>
          <w:rFonts w:ascii="Times New Roman" w:hAnsi="Times New Roman" w:eastAsia="宋体" w:cs="宋体"/>
          <w:sz w:val="24"/>
        </w:rPr>
        <w:t>模块</w:t>
      </w:r>
      <w:r>
        <w:rPr>
          <w:rFonts w:hint="eastAsia" w:ascii="Times New Roman" w:hAnsi="Times New Roman" w:eastAsia="宋体" w:cs="宋体"/>
          <w:sz w:val="24"/>
        </w:rPr>
        <w:t>：配置1</w:t>
      </w:r>
      <w:r>
        <w:rPr>
          <w:rFonts w:ascii="Times New Roman" w:hAnsi="Times New Roman" w:eastAsia="宋体" w:cs="宋体"/>
          <w:sz w:val="24"/>
        </w:rPr>
        <w:t>张GPU计算加速模块。单卡显存容量≥</w:t>
      </w:r>
      <w:r>
        <w:rPr>
          <w:rFonts w:hint="eastAsia" w:ascii="Times New Roman" w:hAnsi="Times New Roman" w:eastAsia="宋体" w:cs="宋体"/>
          <w:sz w:val="24"/>
        </w:rPr>
        <w:t>24</w:t>
      </w:r>
      <w:r>
        <w:rPr>
          <w:rFonts w:ascii="Times New Roman" w:hAnsi="Times New Roman" w:eastAsia="宋体" w:cs="宋体"/>
          <w:sz w:val="24"/>
        </w:rPr>
        <w:t>GB，显存支持ECC或等效纠错保护机制</w:t>
      </w:r>
      <w:r>
        <w:rPr>
          <w:rFonts w:hint="eastAsia" w:ascii="Times New Roman" w:hAnsi="Times New Roman" w:eastAsia="宋体" w:cs="宋体"/>
          <w:sz w:val="24"/>
        </w:rPr>
        <w:t>，</w:t>
      </w:r>
      <w:r>
        <w:rPr>
          <w:rFonts w:ascii="Times New Roman" w:hAnsi="Times New Roman" w:eastAsia="宋体" w:cs="宋体"/>
          <w:sz w:val="24"/>
        </w:rPr>
        <w:t>显存带宽≥</w:t>
      </w:r>
      <w:r>
        <w:rPr>
          <w:rFonts w:hint="eastAsia" w:ascii="Times New Roman" w:hAnsi="Times New Roman" w:eastAsia="宋体" w:cs="宋体"/>
          <w:sz w:val="24"/>
        </w:rPr>
        <w:t>6</w:t>
      </w:r>
      <w:r>
        <w:rPr>
          <w:rFonts w:ascii="Times New Roman" w:hAnsi="Times New Roman" w:eastAsia="宋体" w:cs="宋体"/>
          <w:sz w:val="24"/>
        </w:rPr>
        <w:t>00GB/s；</w:t>
      </w:r>
      <w:r>
        <w:rPr>
          <w:rFonts w:hint="eastAsia" w:ascii="Times New Roman" w:hAnsi="Times New Roman" w:eastAsia="宋体" w:cs="宋体"/>
          <w:sz w:val="24"/>
        </w:rPr>
        <w:t>与</w:t>
      </w:r>
      <w:r>
        <w:rPr>
          <w:rFonts w:ascii="Times New Roman" w:hAnsi="Times New Roman" w:eastAsia="宋体" w:cs="宋体"/>
          <w:sz w:val="24"/>
        </w:rPr>
        <w:t>科研计算GPU工作站</w:t>
      </w:r>
      <w:r>
        <w:rPr>
          <w:rFonts w:hint="eastAsia" w:ascii="Times New Roman" w:hAnsi="Times New Roman" w:eastAsia="宋体" w:cs="宋体"/>
          <w:sz w:val="24"/>
        </w:rPr>
        <w:t>的GPU模块采用相同架构；具有不少于2个DP2.0或以上规格的显示输出接口；</w:t>
      </w:r>
      <w:r>
        <w:rPr>
          <w:rFonts w:ascii="Times New Roman" w:hAnsi="Times New Roman" w:eastAsia="宋体" w:cs="宋体"/>
          <w:sz w:val="24"/>
        </w:rPr>
        <w:t>适配</w:t>
      </w:r>
      <w:r>
        <w:rPr>
          <w:rFonts w:hint="eastAsia" w:ascii="Times New Roman" w:hAnsi="Times New Roman" w:eastAsia="宋体" w:cs="宋体"/>
          <w:sz w:val="24"/>
        </w:rPr>
        <w:t>机箱</w:t>
      </w:r>
      <w:r>
        <w:rPr>
          <w:rFonts w:ascii="Times New Roman" w:hAnsi="Times New Roman" w:eastAsia="宋体" w:cs="宋体"/>
          <w:sz w:val="24"/>
        </w:rPr>
        <w:t>散热与供电设计，支持Linux环境下主流AI、深度学习、图形计算及科学计算框架。</w:t>
      </w:r>
    </w:p>
    <w:p w14:paraId="3BD4C2EB">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3.</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内存：配置DDR5 内存，总容量</w:t>
      </w:r>
      <w:r>
        <w:rPr>
          <w:rFonts w:ascii="Times New Roman" w:hAnsi="Times New Roman" w:eastAsia="宋体" w:cs="宋体"/>
          <w:sz w:val="24"/>
        </w:rPr>
        <w:t>≥</w:t>
      </w:r>
      <w:r>
        <w:rPr>
          <w:rFonts w:hint="eastAsia" w:ascii="Times New Roman" w:hAnsi="Times New Roman" w:eastAsia="宋体" w:cs="宋体"/>
          <w:sz w:val="24"/>
        </w:rPr>
        <w:t>64GB，工作频率</w:t>
      </w:r>
      <w:r>
        <w:rPr>
          <w:rFonts w:ascii="Times New Roman" w:hAnsi="Times New Roman" w:eastAsia="宋体" w:cs="宋体"/>
          <w:sz w:val="24"/>
        </w:rPr>
        <w:t>≥</w:t>
      </w:r>
      <w:r>
        <w:rPr>
          <w:rFonts w:hint="eastAsia" w:ascii="Times New Roman" w:hAnsi="Times New Roman" w:eastAsia="宋体" w:cs="宋体"/>
          <w:sz w:val="24"/>
        </w:rPr>
        <w:t>6000</w:t>
      </w:r>
      <w:r>
        <w:rPr>
          <w:rFonts w:ascii="Times New Roman" w:hAnsi="Times New Roman" w:eastAsia="宋体" w:cs="宋体"/>
          <w:sz w:val="24"/>
        </w:rPr>
        <w:t xml:space="preserve"> MT/s</w:t>
      </w:r>
      <w:r>
        <w:rPr>
          <w:rFonts w:hint="eastAsia" w:ascii="Times New Roman" w:hAnsi="Times New Roman" w:eastAsia="宋体" w:cs="宋体"/>
          <w:sz w:val="24"/>
        </w:rPr>
        <w:t>。</w:t>
      </w:r>
    </w:p>
    <w:p w14:paraId="4BF85B1D">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4.</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存储：</w:t>
      </w:r>
      <w:r>
        <w:rPr>
          <w:rFonts w:ascii="Times New Roman" w:hAnsi="Times New Roman" w:eastAsia="宋体" w:cs="宋体"/>
          <w:sz w:val="24"/>
        </w:rPr>
        <w:t>系统硬盘容量≥1TB，</w:t>
      </w:r>
      <w:r>
        <w:rPr>
          <w:rFonts w:hint="eastAsia" w:ascii="Times New Roman" w:hAnsi="Times New Roman" w:eastAsia="宋体" w:cs="宋体"/>
          <w:sz w:val="24"/>
        </w:rPr>
        <w:t>数据</w:t>
      </w:r>
      <w:r>
        <w:rPr>
          <w:rFonts w:ascii="Times New Roman" w:hAnsi="Times New Roman" w:eastAsia="宋体" w:cs="宋体"/>
          <w:sz w:val="24"/>
        </w:rPr>
        <w:t>硬盘容量≥</w:t>
      </w:r>
      <w:r>
        <w:rPr>
          <w:rFonts w:hint="eastAsia" w:ascii="Times New Roman" w:hAnsi="Times New Roman" w:eastAsia="宋体" w:cs="宋体"/>
          <w:sz w:val="24"/>
        </w:rPr>
        <w:t>2</w:t>
      </w:r>
      <w:r>
        <w:rPr>
          <w:rFonts w:ascii="Times New Roman" w:hAnsi="Times New Roman" w:eastAsia="宋体" w:cs="宋体"/>
          <w:sz w:val="24"/>
        </w:rPr>
        <w:t>TB</w:t>
      </w:r>
      <w:r>
        <w:rPr>
          <w:rFonts w:hint="eastAsia" w:ascii="Times New Roman" w:hAnsi="Times New Roman" w:eastAsia="宋体" w:cs="宋体"/>
          <w:sz w:val="24"/>
        </w:rPr>
        <w:t>，</w:t>
      </w:r>
      <w:r>
        <w:rPr>
          <w:rFonts w:ascii="Times New Roman" w:hAnsi="Times New Roman" w:eastAsia="宋体" w:cs="宋体"/>
          <w:sz w:val="24"/>
        </w:rPr>
        <w:t>采用 NVMe 接口协议；NAND 闪存颗粒应为 TLC 或更高等级类型；</w:t>
      </w:r>
      <w:r>
        <w:rPr>
          <w:rFonts w:hint="eastAsia" w:ascii="Times New Roman" w:hAnsi="Times New Roman" w:eastAsia="宋体" w:cs="宋体"/>
          <w:sz w:val="24"/>
        </w:rPr>
        <w:t>每1TB写入寿命</w:t>
      </w:r>
      <w:r>
        <w:rPr>
          <w:rFonts w:ascii="Times New Roman" w:hAnsi="Times New Roman" w:eastAsia="宋体" w:cs="宋体"/>
          <w:sz w:val="24"/>
        </w:rPr>
        <w:t>≥</w:t>
      </w:r>
      <w:r>
        <w:rPr>
          <w:rFonts w:hint="eastAsia" w:ascii="Times New Roman" w:hAnsi="Times New Roman" w:eastAsia="宋体" w:cs="宋体"/>
          <w:sz w:val="24"/>
        </w:rPr>
        <w:t>600TBW；</w:t>
      </w:r>
      <w:r>
        <w:rPr>
          <w:rFonts w:ascii="Times New Roman" w:hAnsi="Times New Roman" w:eastAsia="宋体" w:cs="宋体"/>
          <w:sz w:val="24"/>
        </w:rPr>
        <w:t>品牌应具备原厂颗粒供应能力。</w:t>
      </w:r>
    </w:p>
    <w:p w14:paraId="30DB7165">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5.</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接口：具备 DisplayPort 和 HDMI 数字显示接口，支持双屏显示输出；配置2.5Gbps或以上规格以太网接口；前后置 USB 接口数量不少于5个，其中机箱前后应各包含不少于1个USB 3.2 Gen 1 或以上规格高速接口。</w:t>
      </w:r>
    </w:p>
    <w:p w14:paraId="32A41DD1">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6.</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电源：</w:t>
      </w:r>
      <w:r>
        <w:rPr>
          <w:rFonts w:ascii="Times New Roman" w:hAnsi="Times New Roman" w:eastAsia="宋体" w:cs="宋体"/>
          <w:sz w:val="24"/>
        </w:rPr>
        <w:t>电源功率</w:t>
      </w:r>
      <w:r>
        <w:rPr>
          <w:rFonts w:hint="eastAsia" w:ascii="Times New Roman" w:hAnsi="Times New Roman" w:eastAsia="宋体" w:cs="宋体"/>
          <w:sz w:val="24"/>
        </w:rPr>
        <w:t>输出功率不低于1000W，采用intel ATX 3.1或更高设计规范，80PLUS金牌或更高等级认证，</w:t>
      </w:r>
      <w:r>
        <w:rPr>
          <w:rFonts w:ascii="Times New Roman" w:hAnsi="Times New Roman" w:eastAsia="宋体" w:cs="宋体"/>
          <w:sz w:val="24"/>
        </w:rPr>
        <w:t>满足整机稳定运行及合理的外设连接扩展需求。</w:t>
      </w:r>
    </w:p>
    <w:p w14:paraId="5ADE9E71">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7.</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散热和机箱：CPU采用风冷散热，散热器塔体热管</w:t>
      </w:r>
      <w:r>
        <w:rPr>
          <w:rFonts w:ascii="Times New Roman" w:hAnsi="Times New Roman" w:eastAsia="宋体" w:cs="宋体"/>
          <w:sz w:val="24"/>
        </w:rPr>
        <w:t>≥</w:t>
      </w:r>
      <w:r>
        <w:rPr>
          <w:rFonts w:hint="eastAsia" w:ascii="Times New Roman" w:hAnsi="Times New Roman" w:eastAsia="宋体" w:cs="宋体"/>
          <w:sz w:val="24"/>
        </w:rPr>
        <w:t>6，散热器风扇尺寸</w:t>
      </w:r>
      <w:r>
        <w:rPr>
          <w:rFonts w:ascii="Times New Roman" w:hAnsi="Times New Roman" w:eastAsia="宋体" w:cs="宋体"/>
          <w:sz w:val="24"/>
        </w:rPr>
        <w:t>≥</w:t>
      </w:r>
      <w:r>
        <w:rPr>
          <w:rFonts w:hint="eastAsia" w:ascii="Times New Roman" w:hAnsi="Times New Roman" w:eastAsia="宋体" w:cs="宋体"/>
          <w:sz w:val="24"/>
        </w:rPr>
        <w:t>12cm，最高转速不超过2500rpm；整机采用塔式机箱，</w:t>
      </w:r>
      <w:r>
        <w:rPr>
          <w:rFonts w:ascii="Times New Roman" w:hAnsi="Times New Roman" w:eastAsia="宋体" w:cs="宋体"/>
          <w:sz w:val="24"/>
        </w:rPr>
        <w:t>机箱结构设计合理，</w:t>
      </w:r>
      <w:r>
        <w:rPr>
          <w:rFonts w:hint="eastAsia" w:ascii="Times New Roman" w:hAnsi="Times New Roman" w:eastAsia="宋体" w:cs="宋体"/>
          <w:sz w:val="24"/>
        </w:rPr>
        <w:t>机箱散热良好，有合理设计风道，</w:t>
      </w:r>
      <w:r>
        <w:rPr>
          <w:rFonts w:ascii="Times New Roman" w:hAnsi="Times New Roman" w:eastAsia="宋体" w:cs="宋体"/>
          <w:sz w:val="24"/>
        </w:rPr>
        <w:t>内部空间满足硬盘、内存等部件维护及扩展需求。</w:t>
      </w:r>
    </w:p>
    <w:p w14:paraId="1C2C3464">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color w:val="000000" w:themeColor="text1"/>
          <w:kern w:val="0"/>
          <w:sz w:val="24"/>
          <w14:textFill>
            <w14:solidFill>
              <w14:schemeClr w14:val="tx1"/>
            </w14:solidFill>
          </w14:textFill>
        </w:rPr>
        <w:t>8.</w:t>
      </w:r>
      <w:r>
        <w:rPr>
          <w:rFonts w:ascii="Times New Roman" w:hAnsi="Times New Roman" w:eastAsia="宋体" w:cs="宋体"/>
          <w:color w:val="000000" w:themeColor="text1"/>
          <w:kern w:val="0"/>
          <w:sz w:val="24"/>
          <w14:textFill>
            <w14:solidFill>
              <w14:schemeClr w14:val="tx1"/>
            </w14:solidFill>
          </w14:textFill>
        </w:rPr>
        <w:tab/>
      </w:r>
      <w:r>
        <w:rPr>
          <w:rFonts w:hint="eastAsia" w:ascii="Times New Roman" w:hAnsi="Times New Roman" w:eastAsia="宋体" w:cs="宋体"/>
          <w:color w:val="000000" w:themeColor="text1"/>
          <w:kern w:val="0"/>
          <w:sz w:val="24"/>
          <w14:textFill>
            <w14:solidFill>
              <w14:schemeClr w14:val="tx1"/>
            </w14:solidFill>
          </w14:textFill>
        </w:rPr>
        <w:t>操作系统：</w:t>
      </w:r>
      <w:r>
        <w:rPr>
          <w:rFonts w:ascii="Times New Roman" w:hAnsi="Times New Roman" w:eastAsia="宋体" w:cs="宋体"/>
          <w:color w:val="000000" w:themeColor="text1"/>
          <w:kern w:val="0"/>
          <w:sz w:val="24"/>
          <w14:textFill>
            <w14:solidFill>
              <w14:schemeClr w14:val="tx1"/>
            </w14:solidFill>
          </w14:textFill>
        </w:rPr>
        <w:t>支持</w:t>
      </w:r>
      <w:r>
        <w:rPr>
          <w:rFonts w:hint="eastAsia" w:ascii="Times New Roman" w:hAnsi="Times New Roman" w:eastAsia="宋体" w:cs="宋体"/>
          <w:color w:val="000000" w:themeColor="text1"/>
          <w:kern w:val="0"/>
          <w:sz w:val="24"/>
          <w14:textFill>
            <w14:solidFill>
              <w14:schemeClr w14:val="tx1"/>
            </w14:solidFill>
          </w14:textFill>
        </w:rPr>
        <w:t>安装Red Hat Linux、Ubuntu等指定分发</w:t>
      </w:r>
      <w:r>
        <w:rPr>
          <w:rFonts w:ascii="Times New Roman" w:hAnsi="Times New Roman" w:eastAsia="宋体" w:cs="宋体"/>
          <w:color w:val="000000" w:themeColor="text1"/>
          <w:kern w:val="0"/>
          <w:sz w:val="24"/>
          <w14:textFill>
            <w14:solidFill>
              <w14:schemeClr w14:val="tx1"/>
            </w14:solidFill>
          </w14:textFill>
        </w:rPr>
        <w:t>版本Linux操作系统</w:t>
      </w:r>
      <w:r>
        <w:rPr>
          <w:rFonts w:hint="eastAsia" w:ascii="Times New Roman" w:hAnsi="Times New Roman" w:eastAsia="宋体" w:cs="宋体"/>
          <w:color w:val="000000" w:themeColor="text1"/>
          <w:kern w:val="0"/>
          <w:sz w:val="24"/>
          <w14:textFill>
            <w14:solidFill>
              <w14:schemeClr w14:val="tx1"/>
            </w14:solidFill>
          </w14:textFill>
        </w:rPr>
        <w:t>和windows 11操作系统。</w:t>
      </w:r>
    </w:p>
    <w:p w14:paraId="2D551FDB">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9.</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附件：配置1套键盘鼠标和1台显示器，显示器规格满足27英寸IPS面板，4K物理分辨率，99% sRGB色域，内置电源，支持VESA安装。</w:t>
      </w:r>
    </w:p>
    <w:p w14:paraId="03E63CEA">
      <w:pPr>
        <w:spacing w:line="300" w:lineRule="auto"/>
        <w:jc w:val="both"/>
        <w:rPr>
          <w:rFonts w:ascii="Times New Roman" w:hAnsi="Times New Roman" w:eastAsia="宋体" w:cs="宋体"/>
          <w:sz w:val="24"/>
        </w:rPr>
      </w:pPr>
    </w:p>
    <w:p w14:paraId="15F612AB">
      <w:pPr>
        <w:spacing w:line="300" w:lineRule="auto"/>
        <w:jc w:val="both"/>
        <w:rPr>
          <w:rFonts w:ascii="Times New Roman" w:hAnsi="Times New Roman" w:eastAsia="宋体" w:cs="宋体"/>
          <w:b/>
          <w:bCs/>
          <w:sz w:val="24"/>
        </w:rPr>
      </w:pPr>
      <w:r>
        <w:rPr>
          <w:rFonts w:hint="eastAsia" w:ascii="Times New Roman" w:hAnsi="Times New Roman" w:eastAsia="宋体" w:cs="宋体"/>
          <w:b/>
          <w:bCs/>
          <w:sz w:val="24"/>
        </w:rPr>
        <w:t>三、</w:t>
      </w:r>
      <w:r>
        <w:rPr>
          <w:rFonts w:ascii="Times New Roman" w:hAnsi="Times New Roman" w:eastAsia="宋体" w:cs="宋体"/>
          <w:b/>
          <w:bCs/>
          <w:sz w:val="24"/>
        </w:rPr>
        <w:t>数据传输与中转工作站</w:t>
      </w:r>
      <w:r>
        <w:rPr>
          <w:rFonts w:hint="eastAsia" w:ascii="Times New Roman" w:hAnsi="Times New Roman" w:eastAsia="宋体" w:cs="宋体"/>
          <w:b/>
          <w:bCs/>
          <w:sz w:val="24"/>
        </w:rPr>
        <w:t xml:space="preserve"> 1台</w:t>
      </w:r>
    </w:p>
    <w:p w14:paraId="704801CD">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1.</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处理器：桌面级CPU</w:t>
      </w:r>
      <w:r>
        <w:rPr>
          <w:rFonts w:ascii="Times New Roman" w:hAnsi="Times New Roman" w:eastAsia="宋体" w:cs="宋体"/>
          <w:sz w:val="24"/>
        </w:rPr>
        <w:t>，单CPU</w:t>
      </w:r>
      <w:r>
        <w:rPr>
          <w:rFonts w:hint="eastAsia" w:ascii="Times New Roman" w:hAnsi="Times New Roman" w:eastAsia="宋体" w:cs="宋体"/>
          <w:sz w:val="24"/>
        </w:rPr>
        <w:t>具有至少24个物理核心，各</w:t>
      </w:r>
      <w:r>
        <w:rPr>
          <w:rFonts w:ascii="Times New Roman" w:hAnsi="Times New Roman" w:eastAsia="宋体" w:cs="宋体"/>
          <w:sz w:val="24"/>
        </w:rPr>
        <w:t>核心的基础频率均≥3.2GHz，最高加速时钟频率≥</w:t>
      </w:r>
      <w:r>
        <w:rPr>
          <w:rFonts w:hint="eastAsia" w:ascii="Times New Roman" w:hAnsi="Times New Roman" w:eastAsia="宋体" w:cs="宋体"/>
          <w:sz w:val="24"/>
        </w:rPr>
        <w:t>5.2</w:t>
      </w:r>
      <w:r>
        <w:rPr>
          <w:rFonts w:ascii="Times New Roman" w:hAnsi="Times New Roman" w:eastAsia="宋体" w:cs="宋体"/>
          <w:sz w:val="24"/>
        </w:rPr>
        <w:t>GHz，L3缓存容量≥</w:t>
      </w:r>
      <w:r>
        <w:rPr>
          <w:rFonts w:hint="eastAsia" w:ascii="Times New Roman" w:hAnsi="Times New Roman" w:eastAsia="宋体" w:cs="宋体"/>
          <w:sz w:val="24"/>
        </w:rPr>
        <w:t>30</w:t>
      </w:r>
      <w:r>
        <w:rPr>
          <w:rFonts w:ascii="Times New Roman" w:hAnsi="Times New Roman" w:eastAsia="宋体" w:cs="宋体"/>
          <w:sz w:val="24"/>
        </w:rPr>
        <w:t>MB</w:t>
      </w:r>
      <w:r>
        <w:rPr>
          <w:rFonts w:hint="eastAsia" w:ascii="Times New Roman" w:hAnsi="Times New Roman" w:eastAsia="宋体" w:cs="宋体"/>
          <w:sz w:val="24"/>
        </w:rPr>
        <w:t>，</w:t>
      </w:r>
      <w:r>
        <w:rPr>
          <w:rFonts w:ascii="Times New Roman" w:hAnsi="Times New Roman" w:eastAsia="宋体" w:cs="宋体"/>
          <w:sz w:val="24"/>
        </w:rPr>
        <w:t>具备集成显示功能</w:t>
      </w:r>
      <w:r>
        <w:rPr>
          <w:rFonts w:hint="eastAsia" w:ascii="Times New Roman" w:hAnsi="Times New Roman" w:eastAsia="宋体" w:cs="宋体"/>
          <w:sz w:val="24"/>
        </w:rPr>
        <w:t>；</w:t>
      </w:r>
    </w:p>
    <w:p w14:paraId="07D21D45">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2.</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内存：配置DDR5 内存，总容量</w:t>
      </w:r>
      <w:r>
        <w:rPr>
          <w:rFonts w:ascii="Times New Roman" w:hAnsi="Times New Roman" w:eastAsia="宋体" w:cs="宋体"/>
          <w:sz w:val="24"/>
        </w:rPr>
        <w:t>≥</w:t>
      </w:r>
      <w:r>
        <w:rPr>
          <w:rFonts w:hint="eastAsia" w:ascii="Times New Roman" w:hAnsi="Times New Roman" w:eastAsia="宋体" w:cs="宋体"/>
          <w:sz w:val="24"/>
        </w:rPr>
        <w:t>64GB，工作频率</w:t>
      </w:r>
      <w:r>
        <w:rPr>
          <w:rFonts w:ascii="Times New Roman" w:hAnsi="Times New Roman" w:eastAsia="宋体" w:cs="宋体"/>
          <w:sz w:val="24"/>
        </w:rPr>
        <w:t>≥</w:t>
      </w:r>
      <w:r>
        <w:rPr>
          <w:rFonts w:hint="eastAsia" w:ascii="Times New Roman" w:hAnsi="Times New Roman" w:eastAsia="宋体" w:cs="宋体"/>
          <w:sz w:val="24"/>
        </w:rPr>
        <w:t>6000</w:t>
      </w:r>
      <w:r>
        <w:rPr>
          <w:rFonts w:ascii="Times New Roman" w:hAnsi="Times New Roman" w:eastAsia="宋体" w:cs="宋体"/>
          <w:sz w:val="24"/>
        </w:rPr>
        <w:t xml:space="preserve"> MT/s</w:t>
      </w:r>
      <w:r>
        <w:rPr>
          <w:rFonts w:hint="eastAsia" w:ascii="Times New Roman" w:hAnsi="Times New Roman" w:eastAsia="宋体" w:cs="宋体"/>
          <w:sz w:val="24"/>
        </w:rPr>
        <w:t>。</w:t>
      </w:r>
    </w:p>
    <w:p w14:paraId="22B99C9C">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3.</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系统硬盘：</w:t>
      </w:r>
      <w:r>
        <w:rPr>
          <w:rFonts w:ascii="Times New Roman" w:hAnsi="Times New Roman" w:eastAsia="宋体" w:cs="宋体"/>
          <w:sz w:val="24"/>
        </w:rPr>
        <w:t>系统硬盘</w:t>
      </w:r>
      <w:r>
        <w:rPr>
          <w:rFonts w:hint="eastAsia" w:ascii="Times New Roman" w:hAnsi="Times New Roman" w:eastAsia="宋体" w:cs="宋体"/>
          <w:sz w:val="24"/>
        </w:rPr>
        <w:t>1块，</w:t>
      </w:r>
      <w:r>
        <w:rPr>
          <w:rFonts w:ascii="Times New Roman" w:hAnsi="Times New Roman" w:eastAsia="宋体" w:cs="宋体"/>
          <w:sz w:val="24"/>
        </w:rPr>
        <w:t>容量≥1TB</w:t>
      </w:r>
      <w:r>
        <w:rPr>
          <w:rFonts w:hint="eastAsia" w:ascii="Times New Roman" w:hAnsi="Times New Roman" w:eastAsia="宋体" w:cs="宋体"/>
          <w:sz w:val="24"/>
        </w:rPr>
        <w:t>，</w:t>
      </w:r>
      <w:r>
        <w:rPr>
          <w:rFonts w:ascii="Times New Roman" w:hAnsi="Times New Roman" w:eastAsia="宋体" w:cs="宋体"/>
          <w:sz w:val="24"/>
        </w:rPr>
        <w:t>采用 NVMe 接口协议；NAND 闪存颗粒应为 TLC 或更高等级类型；</w:t>
      </w:r>
      <w:r>
        <w:rPr>
          <w:rFonts w:hint="eastAsia" w:ascii="Times New Roman" w:hAnsi="Times New Roman" w:eastAsia="宋体" w:cs="宋体"/>
          <w:sz w:val="24"/>
        </w:rPr>
        <w:t>每1TB写入寿命</w:t>
      </w:r>
      <w:r>
        <w:rPr>
          <w:rFonts w:ascii="Times New Roman" w:hAnsi="Times New Roman" w:eastAsia="宋体" w:cs="宋体"/>
          <w:sz w:val="24"/>
        </w:rPr>
        <w:t>≥</w:t>
      </w:r>
      <w:r>
        <w:rPr>
          <w:rFonts w:hint="eastAsia" w:ascii="Times New Roman" w:hAnsi="Times New Roman" w:eastAsia="宋体" w:cs="宋体"/>
          <w:sz w:val="24"/>
        </w:rPr>
        <w:t>600TBW；</w:t>
      </w:r>
      <w:r>
        <w:rPr>
          <w:rFonts w:ascii="Times New Roman" w:hAnsi="Times New Roman" w:eastAsia="宋体" w:cs="宋体"/>
          <w:sz w:val="24"/>
        </w:rPr>
        <w:t>品牌应具备原厂颗粒供应能力。</w:t>
      </w:r>
    </w:p>
    <w:p w14:paraId="6E67DC3F">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4.</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存储硬盘：企业级固态硬盘1块，</w:t>
      </w:r>
      <w:r>
        <w:rPr>
          <w:rFonts w:ascii="Times New Roman" w:hAnsi="Times New Roman" w:eastAsia="宋体" w:cs="宋体"/>
          <w:sz w:val="24"/>
        </w:rPr>
        <w:t>容量≥</w:t>
      </w:r>
      <w:r>
        <w:rPr>
          <w:rFonts w:hint="eastAsia" w:ascii="Times New Roman" w:hAnsi="Times New Roman" w:eastAsia="宋体" w:cs="宋体"/>
          <w:sz w:val="24"/>
        </w:rPr>
        <w:t>3.84</w:t>
      </w:r>
      <w:r>
        <w:rPr>
          <w:rFonts w:ascii="Times New Roman" w:hAnsi="Times New Roman" w:eastAsia="宋体" w:cs="宋体"/>
          <w:sz w:val="24"/>
        </w:rPr>
        <w:t>TB</w:t>
      </w:r>
      <w:r>
        <w:rPr>
          <w:rFonts w:hint="eastAsia" w:ascii="Times New Roman" w:hAnsi="Times New Roman" w:eastAsia="宋体" w:cs="宋体"/>
          <w:sz w:val="24"/>
        </w:rPr>
        <w:t>，</w:t>
      </w:r>
      <w:r>
        <w:rPr>
          <w:rFonts w:ascii="Times New Roman" w:hAnsi="Times New Roman" w:eastAsia="宋体" w:cs="宋体"/>
          <w:sz w:val="24"/>
        </w:rPr>
        <w:t>采用 NVMe 接口协议</w:t>
      </w:r>
      <w:r>
        <w:rPr>
          <w:rFonts w:hint="eastAsia" w:ascii="Times New Roman" w:hAnsi="Times New Roman" w:eastAsia="宋体" w:cs="宋体"/>
          <w:sz w:val="24"/>
        </w:rPr>
        <w:t>，</w:t>
      </w:r>
      <w:r>
        <w:rPr>
          <w:rFonts w:ascii="Times New Roman" w:hAnsi="Times New Roman" w:eastAsia="宋体" w:cs="宋体"/>
          <w:sz w:val="24"/>
        </w:rPr>
        <w:t>NAND 闪存颗粒应为 TLC 或更高等级类型</w:t>
      </w:r>
      <w:r>
        <w:rPr>
          <w:rFonts w:hint="eastAsia" w:ascii="Times New Roman" w:hAnsi="Times New Roman" w:eastAsia="宋体" w:cs="宋体"/>
          <w:sz w:val="24"/>
        </w:rPr>
        <w:t>，写入寿命</w:t>
      </w:r>
      <w:r>
        <w:rPr>
          <w:rFonts w:ascii="Times New Roman" w:hAnsi="Times New Roman" w:eastAsia="宋体" w:cs="宋体"/>
          <w:sz w:val="24"/>
        </w:rPr>
        <w:t>≥</w:t>
      </w:r>
      <w:r>
        <w:rPr>
          <w:rFonts w:hint="eastAsia" w:ascii="Times New Roman" w:hAnsi="Times New Roman" w:eastAsia="宋体" w:cs="宋体"/>
          <w:sz w:val="24"/>
        </w:rPr>
        <w:t>4PB；</w:t>
      </w:r>
      <w:r>
        <w:rPr>
          <w:rFonts w:ascii="Times New Roman" w:hAnsi="Times New Roman" w:eastAsia="宋体" w:cs="宋体"/>
          <w:sz w:val="24"/>
        </w:rPr>
        <w:t>两块20TB企业级机械硬盘通过硬件RAID控制器组建RAID1</w:t>
      </w:r>
      <w:r>
        <w:rPr>
          <w:rFonts w:hint="eastAsia" w:ascii="Times New Roman" w:hAnsi="Times New Roman" w:eastAsia="宋体" w:cs="宋体"/>
          <w:sz w:val="24"/>
        </w:rPr>
        <w:t>，单块硬盘容量</w:t>
      </w:r>
      <w:r>
        <w:rPr>
          <w:rFonts w:ascii="Times New Roman" w:hAnsi="Times New Roman" w:eastAsia="宋体" w:cs="宋体"/>
          <w:sz w:val="24"/>
        </w:rPr>
        <w:t>≥</w:t>
      </w:r>
      <w:r>
        <w:rPr>
          <w:rFonts w:hint="eastAsia" w:ascii="Times New Roman" w:hAnsi="Times New Roman" w:eastAsia="宋体" w:cs="宋体"/>
          <w:sz w:val="24"/>
        </w:rPr>
        <w:t>20TB，转速</w:t>
      </w:r>
      <w:r>
        <w:rPr>
          <w:rFonts w:ascii="Times New Roman" w:hAnsi="Times New Roman" w:eastAsia="宋体" w:cs="宋体"/>
          <w:sz w:val="24"/>
        </w:rPr>
        <w:t>≥</w:t>
      </w:r>
      <w:r>
        <w:rPr>
          <w:rFonts w:hint="eastAsia" w:ascii="Times New Roman" w:hAnsi="Times New Roman" w:eastAsia="宋体" w:cs="宋体"/>
          <w:sz w:val="24"/>
        </w:rPr>
        <w:t>7200RPM，缓存</w:t>
      </w:r>
      <w:r>
        <w:rPr>
          <w:rFonts w:ascii="Times New Roman" w:hAnsi="Times New Roman" w:eastAsia="宋体" w:cs="宋体"/>
          <w:sz w:val="24"/>
        </w:rPr>
        <w:t>≥</w:t>
      </w:r>
      <w:r>
        <w:rPr>
          <w:rFonts w:hint="eastAsia" w:ascii="Times New Roman" w:hAnsi="Times New Roman" w:eastAsia="宋体" w:cs="宋体"/>
          <w:sz w:val="24"/>
        </w:rPr>
        <w:t>512MB，采用CMR或更优记录技术，</w:t>
      </w:r>
      <w:r>
        <w:rPr>
          <w:rFonts w:ascii="Times New Roman" w:hAnsi="Times New Roman" w:eastAsia="宋体" w:cs="宋体"/>
          <w:sz w:val="24"/>
        </w:rPr>
        <w:t>平均故障间隔时间 MTBF≥</w:t>
      </w:r>
      <w:r>
        <w:rPr>
          <w:rFonts w:hint="eastAsia" w:ascii="Times New Roman" w:hAnsi="Times New Roman" w:eastAsia="宋体" w:cs="宋体"/>
          <w:sz w:val="24"/>
        </w:rPr>
        <w:t>250</w:t>
      </w:r>
      <w:r>
        <w:rPr>
          <w:rFonts w:ascii="Times New Roman" w:hAnsi="Times New Roman" w:eastAsia="宋体" w:cs="宋体"/>
          <w:sz w:val="24"/>
        </w:rPr>
        <w:t>万小时</w:t>
      </w:r>
      <w:r>
        <w:rPr>
          <w:rFonts w:hint="eastAsia" w:ascii="Times New Roman" w:hAnsi="Times New Roman" w:eastAsia="宋体" w:cs="宋体"/>
          <w:sz w:val="24"/>
        </w:rPr>
        <w:t>；</w:t>
      </w:r>
    </w:p>
    <w:p w14:paraId="4CEB20FF">
      <w:pPr>
        <w:pStyle w:val="14"/>
        <w:numPr>
          <w:ilvl w:val="0"/>
          <w:numId w:val="4"/>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▲RAID控制器：</w:t>
      </w:r>
      <w:r>
        <w:rPr>
          <w:rFonts w:hint="eastAsia" w:ascii="Times New Roman" w:hAnsi="Times New Roman" w:eastAsia="宋体" w:cs="宋体"/>
          <w:sz w:val="24"/>
        </w:rPr>
        <w:t>配备</w:t>
      </w:r>
      <w:r>
        <w:rPr>
          <w:rFonts w:ascii="Times New Roman" w:hAnsi="Times New Roman" w:eastAsia="宋体" w:cs="宋体"/>
          <w:sz w:val="24"/>
        </w:rPr>
        <w:t>独立硬件RAID控制器，缓存至少支持SATA 1GB缓存阵列卡</w:t>
      </w:r>
      <w:r>
        <w:rPr>
          <w:rFonts w:hint="eastAsia" w:ascii="Times New Roman" w:hAnsi="Times New Roman" w:eastAsia="宋体" w:cs="宋体"/>
          <w:sz w:val="24"/>
        </w:rPr>
        <w:t>，</w:t>
      </w:r>
      <w:r>
        <w:rPr>
          <w:rFonts w:ascii="Times New Roman" w:hAnsi="Times New Roman" w:eastAsia="宋体" w:cs="宋体"/>
          <w:sz w:val="24"/>
        </w:rPr>
        <w:t>支持RAID 0/1等模式，故障告警及阵列状态监控</w:t>
      </w:r>
      <w:r>
        <w:rPr>
          <w:rFonts w:hint="eastAsia" w:ascii="Times New Roman" w:hAnsi="Times New Roman" w:eastAsia="宋体" w:cs="宋体"/>
          <w:sz w:val="24"/>
        </w:rPr>
        <w:t>；</w:t>
      </w:r>
    </w:p>
    <w:p w14:paraId="3CE49DB6">
      <w:pPr>
        <w:pStyle w:val="14"/>
        <w:numPr>
          <w:ilvl w:val="0"/>
          <w:numId w:val="4"/>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w:t>
      </w:r>
      <w:r>
        <w:rPr>
          <w:rFonts w:hint="eastAsia" w:ascii="Times New Roman" w:hAnsi="Times New Roman" w:eastAsia="宋体" w:cs="宋体"/>
          <w:sz w:val="24"/>
        </w:rPr>
        <w:t>网络：</w:t>
      </w:r>
      <w:r>
        <w:rPr>
          <w:rFonts w:ascii="Times New Roman" w:hAnsi="Times New Roman" w:eastAsia="宋体" w:cs="宋体"/>
          <w:sz w:val="24"/>
        </w:rPr>
        <w:t>配置≥2个10GbE SFP+光口，含相应光模块及现场部署所需光纤跳线</w:t>
      </w:r>
      <w:r>
        <w:rPr>
          <w:rFonts w:hint="eastAsia" w:ascii="Times New Roman" w:hAnsi="Times New Roman" w:eastAsia="宋体" w:cs="宋体"/>
          <w:sz w:val="24"/>
        </w:rPr>
        <w:t>（两根不少于30米，含光纤跳线与交换机连接光模块）</w:t>
      </w:r>
      <w:r>
        <w:rPr>
          <w:rFonts w:ascii="Times New Roman" w:hAnsi="Times New Roman" w:eastAsia="宋体" w:cs="宋体"/>
          <w:sz w:val="24"/>
        </w:rPr>
        <w:t>，与交换设备兼容</w:t>
      </w:r>
      <w:r>
        <w:rPr>
          <w:rFonts w:hint="eastAsia" w:ascii="Times New Roman" w:hAnsi="Times New Roman" w:eastAsia="宋体" w:cs="宋体"/>
          <w:sz w:val="24"/>
        </w:rPr>
        <w:t>；</w:t>
      </w:r>
    </w:p>
    <w:p w14:paraId="45B9DD85">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7.</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接口：具备 DisplayPort 和 HDMI 数字显示接口，支持双屏显示输出；配置2.5Gbps或以上规格以太网接口；前后置 USB 接口数量不少于5个，其中机箱前后应各包含不少于1个USB 3.2 Gen 1 或以上规格高速接口。</w:t>
      </w:r>
    </w:p>
    <w:p w14:paraId="067410C9">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8.</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电源：</w:t>
      </w:r>
      <w:r>
        <w:rPr>
          <w:rFonts w:ascii="Times New Roman" w:hAnsi="Times New Roman" w:eastAsia="宋体" w:cs="宋体"/>
          <w:sz w:val="24"/>
        </w:rPr>
        <w:t>电源功率</w:t>
      </w:r>
      <w:r>
        <w:rPr>
          <w:rFonts w:hint="eastAsia" w:ascii="Times New Roman" w:hAnsi="Times New Roman" w:eastAsia="宋体" w:cs="宋体"/>
          <w:sz w:val="24"/>
        </w:rPr>
        <w:t>输出功率不低于1000W，采用intel ATX 3.1或更高设计规范，80PLUS金牌或更高等级认证，</w:t>
      </w:r>
      <w:r>
        <w:rPr>
          <w:rFonts w:ascii="Times New Roman" w:hAnsi="Times New Roman" w:eastAsia="宋体" w:cs="宋体"/>
          <w:sz w:val="24"/>
        </w:rPr>
        <w:t>满足整机稳定运行及合理的外设连接扩展需求。</w:t>
      </w:r>
    </w:p>
    <w:p w14:paraId="2DB49DDA">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9.</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散热和机箱：CPU采用风冷散热，散热器塔体热管</w:t>
      </w:r>
      <w:r>
        <w:rPr>
          <w:rFonts w:ascii="Times New Roman" w:hAnsi="Times New Roman" w:eastAsia="宋体" w:cs="宋体"/>
          <w:sz w:val="24"/>
        </w:rPr>
        <w:t>≥</w:t>
      </w:r>
      <w:r>
        <w:rPr>
          <w:rFonts w:hint="eastAsia" w:ascii="Times New Roman" w:hAnsi="Times New Roman" w:eastAsia="宋体" w:cs="宋体"/>
          <w:sz w:val="24"/>
        </w:rPr>
        <w:t>6，散热器风扇尺寸</w:t>
      </w:r>
      <w:r>
        <w:rPr>
          <w:rFonts w:ascii="Times New Roman" w:hAnsi="Times New Roman" w:eastAsia="宋体" w:cs="宋体"/>
          <w:sz w:val="24"/>
        </w:rPr>
        <w:t>≥</w:t>
      </w:r>
      <w:r>
        <w:rPr>
          <w:rFonts w:hint="eastAsia" w:ascii="Times New Roman" w:hAnsi="Times New Roman" w:eastAsia="宋体" w:cs="宋体"/>
          <w:sz w:val="24"/>
        </w:rPr>
        <w:t>12cm，最高转速不超过2500rpm；整机采用塔式机箱，</w:t>
      </w:r>
      <w:r>
        <w:rPr>
          <w:rFonts w:ascii="Times New Roman" w:hAnsi="Times New Roman" w:eastAsia="宋体" w:cs="宋体"/>
          <w:sz w:val="24"/>
        </w:rPr>
        <w:t>机箱结构设计合理，</w:t>
      </w:r>
      <w:r>
        <w:rPr>
          <w:rFonts w:hint="eastAsia" w:ascii="Times New Roman" w:hAnsi="Times New Roman" w:eastAsia="宋体" w:cs="宋体"/>
          <w:sz w:val="24"/>
        </w:rPr>
        <w:t>机箱散热良好，有合理设计风道，</w:t>
      </w:r>
      <w:r>
        <w:rPr>
          <w:rFonts w:ascii="Times New Roman" w:hAnsi="Times New Roman" w:eastAsia="宋体" w:cs="宋体"/>
          <w:sz w:val="24"/>
        </w:rPr>
        <w:t>内部空间满足硬盘、内存等部件维护及扩展需求。</w:t>
      </w:r>
    </w:p>
    <w:p w14:paraId="468007FF">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color w:val="000000" w:themeColor="text1"/>
          <w:kern w:val="0"/>
          <w:sz w:val="24"/>
          <w14:textFill>
            <w14:solidFill>
              <w14:schemeClr w14:val="tx1"/>
            </w14:solidFill>
          </w14:textFill>
        </w:rPr>
        <w:t>10.</w:t>
      </w:r>
      <w:r>
        <w:rPr>
          <w:rFonts w:ascii="Times New Roman" w:hAnsi="Times New Roman" w:eastAsia="宋体" w:cs="宋体"/>
          <w:color w:val="000000" w:themeColor="text1"/>
          <w:kern w:val="0"/>
          <w:sz w:val="24"/>
          <w14:textFill>
            <w14:solidFill>
              <w14:schemeClr w14:val="tx1"/>
            </w14:solidFill>
          </w14:textFill>
        </w:rPr>
        <w:tab/>
      </w:r>
      <w:r>
        <w:rPr>
          <w:rFonts w:hint="eastAsia" w:ascii="Times New Roman" w:hAnsi="Times New Roman" w:eastAsia="宋体" w:cs="宋体"/>
          <w:color w:val="000000" w:themeColor="text1"/>
          <w:kern w:val="0"/>
          <w:sz w:val="24"/>
          <w14:textFill>
            <w14:solidFill>
              <w14:schemeClr w14:val="tx1"/>
            </w14:solidFill>
          </w14:textFill>
        </w:rPr>
        <w:t>操作系统：</w:t>
      </w:r>
      <w:r>
        <w:rPr>
          <w:rFonts w:ascii="Times New Roman" w:hAnsi="Times New Roman" w:eastAsia="宋体" w:cs="宋体"/>
          <w:color w:val="000000" w:themeColor="text1"/>
          <w:kern w:val="0"/>
          <w:sz w:val="24"/>
          <w14:textFill>
            <w14:solidFill>
              <w14:schemeClr w14:val="tx1"/>
            </w14:solidFill>
          </w14:textFill>
        </w:rPr>
        <w:t>支持</w:t>
      </w:r>
      <w:r>
        <w:rPr>
          <w:rFonts w:hint="eastAsia" w:ascii="Times New Roman" w:hAnsi="Times New Roman" w:eastAsia="宋体" w:cs="宋体"/>
          <w:color w:val="000000" w:themeColor="text1"/>
          <w:kern w:val="0"/>
          <w:sz w:val="24"/>
          <w14:textFill>
            <w14:solidFill>
              <w14:schemeClr w14:val="tx1"/>
            </w14:solidFill>
          </w14:textFill>
        </w:rPr>
        <w:t>安装Red Hat Linux、Ubuntu等指定分发</w:t>
      </w:r>
      <w:r>
        <w:rPr>
          <w:rFonts w:ascii="Times New Roman" w:hAnsi="Times New Roman" w:eastAsia="宋体" w:cs="宋体"/>
          <w:color w:val="000000" w:themeColor="text1"/>
          <w:kern w:val="0"/>
          <w:sz w:val="24"/>
          <w14:textFill>
            <w14:solidFill>
              <w14:schemeClr w14:val="tx1"/>
            </w14:solidFill>
          </w14:textFill>
        </w:rPr>
        <w:t>版本Linux操作系统</w:t>
      </w:r>
      <w:r>
        <w:rPr>
          <w:rFonts w:hint="eastAsia" w:ascii="Times New Roman" w:hAnsi="Times New Roman" w:eastAsia="宋体" w:cs="宋体"/>
          <w:color w:val="000000" w:themeColor="text1"/>
          <w:kern w:val="0"/>
          <w:sz w:val="24"/>
          <w14:textFill>
            <w14:solidFill>
              <w14:schemeClr w14:val="tx1"/>
            </w14:solidFill>
          </w14:textFill>
        </w:rPr>
        <w:t>和windows 11操作系统。</w:t>
      </w:r>
    </w:p>
    <w:p w14:paraId="05187BD5">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11.</w:t>
      </w:r>
      <w:r>
        <w:rPr>
          <w:rFonts w:ascii="Times New Roman" w:hAnsi="Times New Roman" w:eastAsia="宋体" w:cs="宋体"/>
          <w:sz w:val="24"/>
        </w:rPr>
        <w:tab/>
      </w:r>
      <w:r>
        <w:rPr>
          <w:rFonts w:ascii="Times New Roman" w:hAnsi="Times New Roman" w:eastAsia="宋体" w:cs="宋体"/>
          <w:sz w:val="24"/>
        </w:rPr>
        <w:t>▲</w:t>
      </w:r>
      <w:r>
        <w:rPr>
          <w:rFonts w:hint="eastAsia" w:ascii="Times New Roman" w:hAnsi="Times New Roman" w:eastAsia="宋体" w:cs="宋体"/>
          <w:sz w:val="24"/>
        </w:rPr>
        <w:t>附件：配置1套键盘鼠标和1台显示器，显示器规格满足27英寸IPS面板，4K物理分辨率，99% sRGB色域，内置电源，支持VESA安装。</w:t>
      </w:r>
    </w:p>
    <w:p w14:paraId="301843FC">
      <w:pPr>
        <w:spacing w:line="300" w:lineRule="auto"/>
        <w:jc w:val="both"/>
        <w:rPr>
          <w:rFonts w:ascii="Times New Roman" w:hAnsi="Times New Roman" w:eastAsia="宋体" w:cs="宋体"/>
          <w:sz w:val="24"/>
        </w:rPr>
      </w:pPr>
    </w:p>
    <w:p w14:paraId="301843FD">
      <w:pPr>
        <w:spacing w:line="300" w:lineRule="auto"/>
        <w:jc w:val="both"/>
        <w:rPr>
          <w:rFonts w:ascii="Times New Roman" w:hAnsi="Times New Roman" w:eastAsia="宋体" w:cs="宋体"/>
          <w:sz w:val="24"/>
        </w:rPr>
      </w:pPr>
      <w:r>
        <w:rPr>
          <w:rFonts w:hint="eastAsia" w:ascii="Times New Roman" w:hAnsi="Times New Roman" w:eastAsia="宋体" w:cs="宋体"/>
          <w:b/>
          <w:bCs/>
          <w:sz w:val="24"/>
        </w:rPr>
        <w:t>其他要求：</w:t>
      </w:r>
    </w:p>
    <w:p w14:paraId="31A6FA7F">
      <w:pPr>
        <w:pStyle w:val="14"/>
        <w:numPr>
          <w:ilvl w:val="0"/>
          <w:numId w:val="5"/>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▲兼容性</w:t>
      </w:r>
      <w:r>
        <w:rPr>
          <w:rFonts w:hint="eastAsia" w:ascii="Times New Roman" w:hAnsi="Times New Roman" w:eastAsia="宋体" w:cs="宋体"/>
          <w:sz w:val="24"/>
        </w:rPr>
        <w:t>：设备</w:t>
      </w:r>
      <w:r>
        <w:rPr>
          <w:rFonts w:ascii="Times New Roman" w:hAnsi="Times New Roman" w:eastAsia="宋体" w:cs="宋体"/>
          <w:sz w:val="24"/>
        </w:rPr>
        <w:t>能够兼容采购人现有科研计算平台环境，支持接入现有计算设备、存储设备、网络交换设备，并与现有平台实现互联互通。</w:t>
      </w:r>
    </w:p>
    <w:p w14:paraId="301843FE">
      <w:pPr>
        <w:pStyle w:val="14"/>
        <w:numPr>
          <w:ilvl w:val="0"/>
          <w:numId w:val="5"/>
        </w:numPr>
        <w:spacing w:line="300" w:lineRule="auto"/>
        <w:ind w:firstLineChars="0"/>
        <w:jc w:val="both"/>
        <w:rPr>
          <w:rFonts w:ascii="Times New Roman" w:hAnsi="Times New Roman" w:eastAsia="宋体" w:cs="宋体"/>
          <w:sz w:val="24"/>
        </w:rPr>
      </w:pPr>
      <w:r>
        <w:rPr>
          <w:rFonts w:ascii="Times New Roman" w:hAnsi="Times New Roman" w:eastAsia="宋体" w:cs="宋体"/>
          <w:sz w:val="24"/>
        </w:rPr>
        <w:t>供应商须根据采购人现有设备环境</w:t>
      </w:r>
      <w:r>
        <w:rPr>
          <w:rFonts w:hint="eastAsia" w:ascii="Times New Roman" w:hAnsi="Times New Roman" w:eastAsia="宋体" w:cs="宋体"/>
          <w:sz w:val="24"/>
        </w:rPr>
        <w:t>和业务需求</w:t>
      </w:r>
      <w:r>
        <w:rPr>
          <w:rFonts w:ascii="Times New Roman" w:hAnsi="Times New Roman" w:eastAsia="宋体" w:cs="宋体"/>
          <w:sz w:val="24"/>
        </w:rPr>
        <w:t>完成兼容性适配、联调测试和必要的配置优化，确保新增</w:t>
      </w:r>
      <w:r>
        <w:rPr>
          <w:rFonts w:hint="eastAsia" w:ascii="Times New Roman" w:hAnsi="Times New Roman" w:eastAsia="宋体" w:cs="宋体"/>
          <w:sz w:val="24"/>
        </w:rPr>
        <w:t>设备</w:t>
      </w:r>
      <w:r>
        <w:rPr>
          <w:rFonts w:ascii="Times New Roman" w:hAnsi="Times New Roman" w:eastAsia="宋体" w:cs="宋体"/>
          <w:sz w:val="24"/>
        </w:rPr>
        <w:t>可纳入现有科研计算资</w:t>
      </w:r>
      <w:r>
        <w:rPr>
          <w:rFonts w:hint="eastAsia" w:ascii="Times New Roman" w:hAnsi="Times New Roman" w:eastAsia="宋体" w:cs="宋体"/>
          <w:sz w:val="24"/>
        </w:rPr>
        <w:t>源</w:t>
      </w:r>
      <w:r>
        <w:rPr>
          <w:rFonts w:ascii="Times New Roman" w:hAnsi="Times New Roman" w:eastAsia="宋体" w:cs="宋体"/>
          <w:sz w:val="24"/>
        </w:rPr>
        <w:t>统一管理和使用。</w:t>
      </w:r>
    </w:p>
    <w:p w14:paraId="301843FF">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二、</w:t>
      </w:r>
      <w:r>
        <w:rPr>
          <w:rFonts w:ascii="Times New Roman" w:hAnsi="Times New Roman" w:eastAsia="宋体" w:cs="宋体"/>
          <w:sz w:val="24"/>
        </w:rPr>
        <w:t>▲来源及全新性</w:t>
      </w:r>
      <w:r>
        <w:rPr>
          <w:rFonts w:hint="eastAsia" w:ascii="Times New Roman" w:hAnsi="Times New Roman" w:eastAsia="宋体" w:cs="宋体"/>
          <w:sz w:val="24"/>
        </w:rPr>
        <w:t>：</w:t>
      </w:r>
      <w:r>
        <w:rPr>
          <w:rFonts w:ascii="Times New Roman" w:hAnsi="Times New Roman" w:eastAsia="宋体" w:cs="宋体"/>
          <w:sz w:val="24"/>
        </w:rPr>
        <w:t>投标人所投设备整机及核心部件应为来源合法、质量合格、状态良好、可追溯且未经使用的产品，不得使用二手件、翻新件、返修件、工程样品、测试样品、ES/QS 版本或来源不明的 OEM 拆机部件参与投标。核心部件包括但不限于 CPU、GPU、内存、硬盘、RAID 卡/HBA 卡、主板、电源模块、网卡等。</w:t>
      </w:r>
    </w:p>
    <w:p w14:paraId="30184400">
      <w:pPr>
        <w:pStyle w:val="14"/>
        <w:spacing w:line="300" w:lineRule="auto"/>
        <w:ind w:left="480" w:firstLine="0" w:firstLineChars="0"/>
        <w:jc w:val="both"/>
        <w:rPr>
          <w:rFonts w:ascii="Times New Roman" w:hAnsi="Times New Roman" w:eastAsia="宋体" w:cs="宋体"/>
          <w:sz w:val="24"/>
        </w:rPr>
      </w:pPr>
      <w:r>
        <w:rPr>
          <w:rFonts w:ascii="Times New Roman" w:hAnsi="Times New Roman" w:eastAsia="宋体" w:cs="宋体"/>
          <w:sz w:val="24"/>
        </w:rPr>
        <w:t>投标人须承诺所投设备为本次采购新生产或新集成设备，整机出厂、集成、测试或质保起始时间应与本次采购时间相匹配。除CPU、GPU外，核心部件出厂日期原则上应在整机生产日期一年以内；确因原厂备货周期、渠道库存、整机集成周期等原因存在时间差异的，投标人应提供合理说明及原厂或授权渠道证明。</w:t>
      </w:r>
    </w:p>
    <w:p w14:paraId="30184401">
      <w:pPr>
        <w:pStyle w:val="14"/>
        <w:spacing w:line="300" w:lineRule="auto"/>
        <w:ind w:left="480" w:firstLine="0" w:firstLineChars="0"/>
        <w:jc w:val="both"/>
        <w:rPr>
          <w:rFonts w:ascii="Times New Roman" w:hAnsi="Times New Roman" w:eastAsia="宋体" w:cs="宋体"/>
          <w:sz w:val="24"/>
        </w:rPr>
      </w:pPr>
      <w:r>
        <w:rPr>
          <w:rFonts w:ascii="Times New Roman" w:hAnsi="Times New Roman" w:eastAsia="宋体" w:cs="宋体"/>
          <w:sz w:val="24"/>
        </w:rPr>
        <w:t>核心部件应满足以下要求：硬盘通电时间原则上不超过50小时；确因原厂出厂测试、整机集成测试等原因导致通电时间超过50小时的，投标人应提供合理说明或证明；固态硬盘健康度应为100%且寿命消耗为0%，不得存在异常错误或明显累计写入记录；GPU不得存在历史ECC错误、异常运行记录、工程样品标识或非正式VBIOS；内存条应为同品牌、同规格、同批次或经原厂认证的兼容配置，不得混用来源不明、拆机、翻新或返修内存；CPU、GPU 不得为工程样品、测试样品、ES/QS 版本或非正式量产版本。</w:t>
      </w:r>
    </w:p>
    <w:p w14:paraId="30184402">
      <w:pPr>
        <w:spacing w:line="300" w:lineRule="auto"/>
        <w:ind w:left="480" w:hanging="480" w:hangingChars="200"/>
        <w:jc w:val="both"/>
        <w:rPr>
          <w:rFonts w:ascii="Times New Roman" w:hAnsi="Times New Roman" w:eastAsia="宋体" w:cs="宋体"/>
          <w:sz w:val="24"/>
        </w:rPr>
      </w:pPr>
      <w:r>
        <w:rPr>
          <w:rFonts w:ascii="Times New Roman" w:hAnsi="Times New Roman" w:eastAsia="宋体" w:cs="宋体"/>
          <w:sz w:val="24"/>
        </w:rPr>
        <w:t>▲</w:t>
      </w:r>
      <w:r>
        <w:rPr>
          <w:rFonts w:hint="eastAsia" w:ascii="Times New Roman" w:hAnsi="Times New Roman" w:eastAsia="宋体" w:cs="宋体"/>
          <w:sz w:val="24"/>
        </w:rPr>
        <w:t>三、售后：原厂（成交价内的所有硬件设备）≥3年整机产品替换质保，质保期后每年维保费不超过合同总价8%；7</w:t>
      </w:r>
      <w:r>
        <w:rPr>
          <w:rFonts w:ascii="Times New Roman" w:hAnsi="Times New Roman" w:eastAsia="宋体" w:cs="Times New Roman"/>
          <w:sz w:val="24"/>
        </w:rPr>
        <w:t>×</w:t>
      </w:r>
      <w:r>
        <w:rPr>
          <w:rFonts w:hint="eastAsia" w:ascii="Times New Roman" w:hAnsi="Times New Roman" w:eastAsia="宋体" w:cs="宋体"/>
          <w:sz w:val="24"/>
        </w:rPr>
        <w:t>24小时电话网络支持，合同期内，免费送货上门、安装、调试；免费负责采购人维修、操作、技术人员的培训，并无偿提供培训资料。售后服务费用包含在报价中，发生故障接到售后服务要求后，应承诺在1小时内响应并提出解决方案，6小时内到现场进行故障处理。</w:t>
      </w:r>
    </w:p>
    <w:p w14:paraId="30184403">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四、商务资质认证要求：产品通过中国国家强制CCC和节能认证。质量管理体系符合：GB/T19001-2016/ISO9001:2015标准；</w:t>
      </w:r>
    </w:p>
    <w:p w14:paraId="30184404">
      <w:pPr>
        <w:spacing w:line="300" w:lineRule="auto"/>
        <w:ind w:left="480" w:hanging="480" w:hangingChars="200"/>
        <w:jc w:val="both"/>
        <w:rPr>
          <w:rFonts w:ascii="Times New Roman" w:hAnsi="Times New Roman" w:eastAsia="宋体" w:cs="宋体"/>
          <w:sz w:val="24"/>
        </w:rPr>
      </w:pPr>
      <w:r>
        <w:rPr>
          <w:rFonts w:hint="eastAsia" w:ascii="Times New Roman" w:hAnsi="Times New Roman" w:eastAsia="宋体" w:cs="宋体"/>
          <w:sz w:val="24"/>
        </w:rPr>
        <w:t>五、验收时须提供生产厂家针对本项目出具售后服务承诺书原件或复印件。</w:t>
      </w:r>
    </w:p>
    <w:p w14:paraId="30184405">
      <w:pPr>
        <w:spacing w:line="300" w:lineRule="auto"/>
        <w:ind w:left="480" w:hanging="480" w:hangingChars="200"/>
        <w:jc w:val="both"/>
        <w:rPr>
          <w:rFonts w:ascii="Times New Roman" w:hAnsi="Times New Roman" w:eastAsia="宋体" w:cs="宋体"/>
          <w:sz w:val="24"/>
        </w:rPr>
      </w:pPr>
    </w:p>
    <w:sectPr>
      <w:headerReference r:id="rId6" w:type="first"/>
      <w:footerReference r:id="rId8" w:type="first"/>
      <w:headerReference r:id="rId5" w:type="even"/>
      <w:footerReference r:id="rId7" w:type="even"/>
      <w:type w:val="continuous"/>
      <w:pgSz w:w="11906" w:h="16838"/>
      <w:pgMar w:top="1100" w:right="1134" w:bottom="567" w:left="1134" w:header="851" w:footer="567"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8C612">
    <w:pPr>
      <w:pStyle w:val="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7BA04">
    <w:pPr>
      <w:pStyle w:val="3"/>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9F880">
    <w:pPr>
      <w:pStyle w:val="4"/>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34E5E">
    <w:pPr>
      <w:pStyle w:val="4"/>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859D7"/>
    <w:multiLevelType w:val="multilevel"/>
    <w:tmpl w:val="117859D7"/>
    <w:lvl w:ilvl="0" w:tentative="0">
      <w:start w:val="1"/>
      <w:numFmt w:val="decimal"/>
      <w:lvlText w:val="%1."/>
      <w:lvlJc w:val="left"/>
      <w:pPr>
        <w:ind w:left="420" w:hanging="4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BB3541B"/>
    <w:multiLevelType w:val="multilevel"/>
    <w:tmpl w:val="1BB3541B"/>
    <w:lvl w:ilvl="0" w:tentative="0">
      <w:start w:val="5"/>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1F9F4CBE"/>
    <w:multiLevelType w:val="multilevel"/>
    <w:tmpl w:val="1F9F4CBE"/>
    <w:lvl w:ilvl="0" w:tentative="0">
      <w:start w:val="1"/>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315B1C84"/>
    <w:multiLevelType w:val="multilevel"/>
    <w:tmpl w:val="315B1C84"/>
    <w:lvl w:ilvl="0" w:tentative="0">
      <w:start w:val="2"/>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6CDB62A4"/>
    <w:multiLevelType w:val="multilevel"/>
    <w:tmpl w:val="6CDB62A4"/>
    <w:lvl w:ilvl="0" w:tentative="0">
      <w:start w:val="1"/>
      <w:numFmt w:val="japaneseCounting"/>
      <w:lvlText w:val="%1、"/>
      <w:lvlJc w:val="left"/>
      <w:pPr>
        <w:ind w:left="500" w:hanging="50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834"/>
    <w:rsid w:val="0000075A"/>
    <w:rsid w:val="0001592A"/>
    <w:rsid w:val="0001759F"/>
    <w:rsid w:val="00023665"/>
    <w:rsid w:val="00045D0A"/>
    <w:rsid w:val="00054462"/>
    <w:rsid w:val="0005760B"/>
    <w:rsid w:val="00061FF2"/>
    <w:rsid w:val="00062595"/>
    <w:rsid w:val="000642AD"/>
    <w:rsid w:val="00071FCC"/>
    <w:rsid w:val="0007273B"/>
    <w:rsid w:val="00082F71"/>
    <w:rsid w:val="000A59EE"/>
    <w:rsid w:val="000A7CAD"/>
    <w:rsid w:val="000A7E25"/>
    <w:rsid w:val="000B078B"/>
    <w:rsid w:val="000D0413"/>
    <w:rsid w:val="000E0C33"/>
    <w:rsid w:val="000E4706"/>
    <w:rsid w:val="000F6785"/>
    <w:rsid w:val="0010006D"/>
    <w:rsid w:val="00100889"/>
    <w:rsid w:val="00101C4E"/>
    <w:rsid w:val="00103572"/>
    <w:rsid w:val="00111630"/>
    <w:rsid w:val="00122B41"/>
    <w:rsid w:val="00124052"/>
    <w:rsid w:val="00132A0A"/>
    <w:rsid w:val="00134D80"/>
    <w:rsid w:val="00136D33"/>
    <w:rsid w:val="0013764E"/>
    <w:rsid w:val="00141252"/>
    <w:rsid w:val="00141920"/>
    <w:rsid w:val="00147A69"/>
    <w:rsid w:val="0015505D"/>
    <w:rsid w:val="001567E2"/>
    <w:rsid w:val="001630D5"/>
    <w:rsid w:val="00163D2F"/>
    <w:rsid w:val="00164816"/>
    <w:rsid w:val="00171A1D"/>
    <w:rsid w:val="00175E9A"/>
    <w:rsid w:val="00182622"/>
    <w:rsid w:val="001A1B1C"/>
    <w:rsid w:val="001A495A"/>
    <w:rsid w:val="001A756C"/>
    <w:rsid w:val="001A7D06"/>
    <w:rsid w:val="001B1B70"/>
    <w:rsid w:val="001B2215"/>
    <w:rsid w:val="001C3F05"/>
    <w:rsid w:val="001D3856"/>
    <w:rsid w:val="001D3C71"/>
    <w:rsid w:val="001D456A"/>
    <w:rsid w:val="001D6EB6"/>
    <w:rsid w:val="001E4596"/>
    <w:rsid w:val="001F476D"/>
    <w:rsid w:val="001F53D4"/>
    <w:rsid w:val="001F6908"/>
    <w:rsid w:val="00201483"/>
    <w:rsid w:val="00202FB4"/>
    <w:rsid w:val="00206927"/>
    <w:rsid w:val="00211295"/>
    <w:rsid w:val="00213054"/>
    <w:rsid w:val="00213F57"/>
    <w:rsid w:val="00220AE8"/>
    <w:rsid w:val="00227DEF"/>
    <w:rsid w:val="00231A4B"/>
    <w:rsid w:val="00233A4C"/>
    <w:rsid w:val="002344F3"/>
    <w:rsid w:val="002466A1"/>
    <w:rsid w:val="002567CE"/>
    <w:rsid w:val="0026074C"/>
    <w:rsid w:val="0026077A"/>
    <w:rsid w:val="002628E9"/>
    <w:rsid w:val="00270663"/>
    <w:rsid w:val="0027267F"/>
    <w:rsid w:val="00273938"/>
    <w:rsid w:val="002902A1"/>
    <w:rsid w:val="002969B4"/>
    <w:rsid w:val="002A45F2"/>
    <w:rsid w:val="002A7595"/>
    <w:rsid w:val="002A7E41"/>
    <w:rsid w:val="002D0AD7"/>
    <w:rsid w:val="002D3F0C"/>
    <w:rsid w:val="002E475D"/>
    <w:rsid w:val="002E6C16"/>
    <w:rsid w:val="002F1EA6"/>
    <w:rsid w:val="0030182D"/>
    <w:rsid w:val="00312594"/>
    <w:rsid w:val="00330E6E"/>
    <w:rsid w:val="00332AE3"/>
    <w:rsid w:val="00334EDF"/>
    <w:rsid w:val="003429D3"/>
    <w:rsid w:val="003448D4"/>
    <w:rsid w:val="00345889"/>
    <w:rsid w:val="00352F26"/>
    <w:rsid w:val="003627B8"/>
    <w:rsid w:val="003840EB"/>
    <w:rsid w:val="003854DF"/>
    <w:rsid w:val="00390366"/>
    <w:rsid w:val="0039170E"/>
    <w:rsid w:val="00396AEB"/>
    <w:rsid w:val="003A5DB9"/>
    <w:rsid w:val="003A6A25"/>
    <w:rsid w:val="003B6E6A"/>
    <w:rsid w:val="003C29D4"/>
    <w:rsid w:val="003C588D"/>
    <w:rsid w:val="003D66DE"/>
    <w:rsid w:val="003D6852"/>
    <w:rsid w:val="003F0D00"/>
    <w:rsid w:val="003F44CC"/>
    <w:rsid w:val="00401710"/>
    <w:rsid w:val="00410D49"/>
    <w:rsid w:val="004126CD"/>
    <w:rsid w:val="00415CA4"/>
    <w:rsid w:val="0042238F"/>
    <w:rsid w:val="00425EBD"/>
    <w:rsid w:val="00436188"/>
    <w:rsid w:val="004366FE"/>
    <w:rsid w:val="00442F90"/>
    <w:rsid w:val="00451466"/>
    <w:rsid w:val="004640C8"/>
    <w:rsid w:val="004705E3"/>
    <w:rsid w:val="004711E0"/>
    <w:rsid w:val="00475CC4"/>
    <w:rsid w:val="00482770"/>
    <w:rsid w:val="004852F6"/>
    <w:rsid w:val="004911B1"/>
    <w:rsid w:val="00491602"/>
    <w:rsid w:val="004918E0"/>
    <w:rsid w:val="00491E42"/>
    <w:rsid w:val="00495AE9"/>
    <w:rsid w:val="00495B13"/>
    <w:rsid w:val="004972D5"/>
    <w:rsid w:val="004B37D5"/>
    <w:rsid w:val="004B796D"/>
    <w:rsid w:val="004C0246"/>
    <w:rsid w:val="004C7230"/>
    <w:rsid w:val="004E2A0B"/>
    <w:rsid w:val="004F6C1F"/>
    <w:rsid w:val="00501C08"/>
    <w:rsid w:val="00502699"/>
    <w:rsid w:val="00510DFE"/>
    <w:rsid w:val="00517BEA"/>
    <w:rsid w:val="00537723"/>
    <w:rsid w:val="00540B44"/>
    <w:rsid w:val="0055072B"/>
    <w:rsid w:val="00552A56"/>
    <w:rsid w:val="00553096"/>
    <w:rsid w:val="00561C41"/>
    <w:rsid w:val="00562FC7"/>
    <w:rsid w:val="00564C33"/>
    <w:rsid w:val="00566909"/>
    <w:rsid w:val="005669DC"/>
    <w:rsid w:val="005723E5"/>
    <w:rsid w:val="00575B18"/>
    <w:rsid w:val="00584140"/>
    <w:rsid w:val="00591F89"/>
    <w:rsid w:val="00592258"/>
    <w:rsid w:val="00597413"/>
    <w:rsid w:val="005A3366"/>
    <w:rsid w:val="005A4289"/>
    <w:rsid w:val="005A4844"/>
    <w:rsid w:val="005A48C5"/>
    <w:rsid w:val="005A69DC"/>
    <w:rsid w:val="005B5475"/>
    <w:rsid w:val="005C799B"/>
    <w:rsid w:val="005D0A38"/>
    <w:rsid w:val="005D6651"/>
    <w:rsid w:val="005E3577"/>
    <w:rsid w:val="005E67ED"/>
    <w:rsid w:val="005E6943"/>
    <w:rsid w:val="005F6D59"/>
    <w:rsid w:val="00600EBA"/>
    <w:rsid w:val="006010AF"/>
    <w:rsid w:val="00602F20"/>
    <w:rsid w:val="00603121"/>
    <w:rsid w:val="0061265E"/>
    <w:rsid w:val="00627708"/>
    <w:rsid w:val="006302F2"/>
    <w:rsid w:val="0063794D"/>
    <w:rsid w:val="0064198D"/>
    <w:rsid w:val="00652705"/>
    <w:rsid w:val="006670CD"/>
    <w:rsid w:val="00693882"/>
    <w:rsid w:val="00693BA4"/>
    <w:rsid w:val="00695E16"/>
    <w:rsid w:val="006B5185"/>
    <w:rsid w:val="006C0BEF"/>
    <w:rsid w:val="006C7AD8"/>
    <w:rsid w:val="006D2121"/>
    <w:rsid w:val="006E1C48"/>
    <w:rsid w:val="006E69AC"/>
    <w:rsid w:val="006E761D"/>
    <w:rsid w:val="006F1729"/>
    <w:rsid w:val="006F21AE"/>
    <w:rsid w:val="006F5479"/>
    <w:rsid w:val="006F5D12"/>
    <w:rsid w:val="006F681E"/>
    <w:rsid w:val="007036BC"/>
    <w:rsid w:val="00711D19"/>
    <w:rsid w:val="00711D6A"/>
    <w:rsid w:val="00715749"/>
    <w:rsid w:val="00717857"/>
    <w:rsid w:val="00726D93"/>
    <w:rsid w:val="00727625"/>
    <w:rsid w:val="00731C5A"/>
    <w:rsid w:val="007352DD"/>
    <w:rsid w:val="00747A6E"/>
    <w:rsid w:val="007531C3"/>
    <w:rsid w:val="00754C79"/>
    <w:rsid w:val="007572A6"/>
    <w:rsid w:val="00784C53"/>
    <w:rsid w:val="0078559B"/>
    <w:rsid w:val="00791B21"/>
    <w:rsid w:val="00795074"/>
    <w:rsid w:val="007A6379"/>
    <w:rsid w:val="007A72FC"/>
    <w:rsid w:val="007B1BCE"/>
    <w:rsid w:val="007B1C50"/>
    <w:rsid w:val="007B3EE7"/>
    <w:rsid w:val="007B3F73"/>
    <w:rsid w:val="007D4DF9"/>
    <w:rsid w:val="007E21CB"/>
    <w:rsid w:val="007E6C98"/>
    <w:rsid w:val="0081153E"/>
    <w:rsid w:val="00815BDC"/>
    <w:rsid w:val="0081762E"/>
    <w:rsid w:val="00817727"/>
    <w:rsid w:val="00820BF0"/>
    <w:rsid w:val="008225D9"/>
    <w:rsid w:val="00825C91"/>
    <w:rsid w:val="008304D2"/>
    <w:rsid w:val="00836507"/>
    <w:rsid w:val="0084733D"/>
    <w:rsid w:val="00850854"/>
    <w:rsid w:val="00851011"/>
    <w:rsid w:val="0085486C"/>
    <w:rsid w:val="0086485B"/>
    <w:rsid w:val="0086573B"/>
    <w:rsid w:val="00870ACC"/>
    <w:rsid w:val="008721D1"/>
    <w:rsid w:val="00880382"/>
    <w:rsid w:val="00880BDB"/>
    <w:rsid w:val="00882E58"/>
    <w:rsid w:val="00885261"/>
    <w:rsid w:val="00885E44"/>
    <w:rsid w:val="0088641E"/>
    <w:rsid w:val="0088770F"/>
    <w:rsid w:val="00887A46"/>
    <w:rsid w:val="00896BD2"/>
    <w:rsid w:val="008A5094"/>
    <w:rsid w:val="008D6F66"/>
    <w:rsid w:val="008D7F2D"/>
    <w:rsid w:val="008E4008"/>
    <w:rsid w:val="008F46A2"/>
    <w:rsid w:val="008F49F3"/>
    <w:rsid w:val="008F6E99"/>
    <w:rsid w:val="00900F1F"/>
    <w:rsid w:val="009071BC"/>
    <w:rsid w:val="00910834"/>
    <w:rsid w:val="00916546"/>
    <w:rsid w:val="009222FC"/>
    <w:rsid w:val="0093112D"/>
    <w:rsid w:val="009322A8"/>
    <w:rsid w:val="0094050F"/>
    <w:rsid w:val="00942AAD"/>
    <w:rsid w:val="00944DEC"/>
    <w:rsid w:val="00950EA6"/>
    <w:rsid w:val="00953EB9"/>
    <w:rsid w:val="00971D0C"/>
    <w:rsid w:val="009752BD"/>
    <w:rsid w:val="009775EF"/>
    <w:rsid w:val="00986BED"/>
    <w:rsid w:val="00987203"/>
    <w:rsid w:val="009948F1"/>
    <w:rsid w:val="00995937"/>
    <w:rsid w:val="009B7FC2"/>
    <w:rsid w:val="009C2808"/>
    <w:rsid w:val="009C6841"/>
    <w:rsid w:val="009D41D5"/>
    <w:rsid w:val="009D4D9C"/>
    <w:rsid w:val="009E2596"/>
    <w:rsid w:val="009E4FBF"/>
    <w:rsid w:val="009E570B"/>
    <w:rsid w:val="009F541E"/>
    <w:rsid w:val="009F7E88"/>
    <w:rsid w:val="00A0299D"/>
    <w:rsid w:val="00A070B7"/>
    <w:rsid w:val="00A11F31"/>
    <w:rsid w:val="00A14F90"/>
    <w:rsid w:val="00A16080"/>
    <w:rsid w:val="00A2152E"/>
    <w:rsid w:val="00A30273"/>
    <w:rsid w:val="00A3709F"/>
    <w:rsid w:val="00A510D2"/>
    <w:rsid w:val="00A549B6"/>
    <w:rsid w:val="00A70110"/>
    <w:rsid w:val="00A7586B"/>
    <w:rsid w:val="00A816F2"/>
    <w:rsid w:val="00A83531"/>
    <w:rsid w:val="00A84DCE"/>
    <w:rsid w:val="00A86584"/>
    <w:rsid w:val="00A90DE1"/>
    <w:rsid w:val="00A96158"/>
    <w:rsid w:val="00AA5A40"/>
    <w:rsid w:val="00AA5A47"/>
    <w:rsid w:val="00AA75D2"/>
    <w:rsid w:val="00AB40C9"/>
    <w:rsid w:val="00AB7D56"/>
    <w:rsid w:val="00AC01B5"/>
    <w:rsid w:val="00AC01BB"/>
    <w:rsid w:val="00AC36C1"/>
    <w:rsid w:val="00AD09FE"/>
    <w:rsid w:val="00AF00F1"/>
    <w:rsid w:val="00AF08EE"/>
    <w:rsid w:val="00AF4FB7"/>
    <w:rsid w:val="00B02047"/>
    <w:rsid w:val="00B04896"/>
    <w:rsid w:val="00B10B29"/>
    <w:rsid w:val="00B13497"/>
    <w:rsid w:val="00B1404B"/>
    <w:rsid w:val="00B16AF4"/>
    <w:rsid w:val="00B17DF8"/>
    <w:rsid w:val="00B20F41"/>
    <w:rsid w:val="00B22434"/>
    <w:rsid w:val="00B23267"/>
    <w:rsid w:val="00B43012"/>
    <w:rsid w:val="00B516FB"/>
    <w:rsid w:val="00B528FF"/>
    <w:rsid w:val="00B60147"/>
    <w:rsid w:val="00B61756"/>
    <w:rsid w:val="00B6576C"/>
    <w:rsid w:val="00B73417"/>
    <w:rsid w:val="00B7604F"/>
    <w:rsid w:val="00B76FF8"/>
    <w:rsid w:val="00B82C25"/>
    <w:rsid w:val="00B86C32"/>
    <w:rsid w:val="00B95C75"/>
    <w:rsid w:val="00B9646B"/>
    <w:rsid w:val="00BA1F6E"/>
    <w:rsid w:val="00BA36A8"/>
    <w:rsid w:val="00BA458E"/>
    <w:rsid w:val="00BB5119"/>
    <w:rsid w:val="00BB5269"/>
    <w:rsid w:val="00BB61C2"/>
    <w:rsid w:val="00BC0347"/>
    <w:rsid w:val="00BC0B22"/>
    <w:rsid w:val="00BC1F26"/>
    <w:rsid w:val="00BC3965"/>
    <w:rsid w:val="00BC3DDF"/>
    <w:rsid w:val="00BC6C0E"/>
    <w:rsid w:val="00BD1BAE"/>
    <w:rsid w:val="00BD2D33"/>
    <w:rsid w:val="00BD3AD4"/>
    <w:rsid w:val="00BE11C3"/>
    <w:rsid w:val="00BF017F"/>
    <w:rsid w:val="00BF42BB"/>
    <w:rsid w:val="00C1092E"/>
    <w:rsid w:val="00C15CE2"/>
    <w:rsid w:val="00C165AA"/>
    <w:rsid w:val="00C479E4"/>
    <w:rsid w:val="00C561CD"/>
    <w:rsid w:val="00C5708B"/>
    <w:rsid w:val="00C60D55"/>
    <w:rsid w:val="00C6256F"/>
    <w:rsid w:val="00C63BAB"/>
    <w:rsid w:val="00C87A5C"/>
    <w:rsid w:val="00C92FEB"/>
    <w:rsid w:val="00C93294"/>
    <w:rsid w:val="00CA0801"/>
    <w:rsid w:val="00CA678A"/>
    <w:rsid w:val="00CB6B77"/>
    <w:rsid w:val="00CB76E1"/>
    <w:rsid w:val="00CC6872"/>
    <w:rsid w:val="00CD6DA6"/>
    <w:rsid w:val="00D03819"/>
    <w:rsid w:val="00D12FD8"/>
    <w:rsid w:val="00D15718"/>
    <w:rsid w:val="00D15DC1"/>
    <w:rsid w:val="00D535E6"/>
    <w:rsid w:val="00D53B73"/>
    <w:rsid w:val="00D63BCE"/>
    <w:rsid w:val="00D721CA"/>
    <w:rsid w:val="00D73464"/>
    <w:rsid w:val="00D74137"/>
    <w:rsid w:val="00D87799"/>
    <w:rsid w:val="00D911AD"/>
    <w:rsid w:val="00D93C68"/>
    <w:rsid w:val="00D94CF2"/>
    <w:rsid w:val="00D94E81"/>
    <w:rsid w:val="00DA12EF"/>
    <w:rsid w:val="00DA7479"/>
    <w:rsid w:val="00DB1B54"/>
    <w:rsid w:val="00DC48FA"/>
    <w:rsid w:val="00DC733E"/>
    <w:rsid w:val="00DF09EC"/>
    <w:rsid w:val="00DF1AA9"/>
    <w:rsid w:val="00DF39D3"/>
    <w:rsid w:val="00DF6E8B"/>
    <w:rsid w:val="00E024FF"/>
    <w:rsid w:val="00E11CB8"/>
    <w:rsid w:val="00E16AAD"/>
    <w:rsid w:val="00E2119A"/>
    <w:rsid w:val="00E230D4"/>
    <w:rsid w:val="00E24ECD"/>
    <w:rsid w:val="00E30541"/>
    <w:rsid w:val="00E30804"/>
    <w:rsid w:val="00E3431A"/>
    <w:rsid w:val="00E34322"/>
    <w:rsid w:val="00E40DCF"/>
    <w:rsid w:val="00E45B3A"/>
    <w:rsid w:val="00E47446"/>
    <w:rsid w:val="00E531FF"/>
    <w:rsid w:val="00E60A7A"/>
    <w:rsid w:val="00E62071"/>
    <w:rsid w:val="00E66C19"/>
    <w:rsid w:val="00E72B0B"/>
    <w:rsid w:val="00E742A2"/>
    <w:rsid w:val="00E76AD0"/>
    <w:rsid w:val="00E76F5E"/>
    <w:rsid w:val="00E8296D"/>
    <w:rsid w:val="00E8308A"/>
    <w:rsid w:val="00E9289A"/>
    <w:rsid w:val="00E937DF"/>
    <w:rsid w:val="00E963C9"/>
    <w:rsid w:val="00E9705E"/>
    <w:rsid w:val="00E97E1B"/>
    <w:rsid w:val="00EA48BA"/>
    <w:rsid w:val="00EB60D2"/>
    <w:rsid w:val="00EC2DD7"/>
    <w:rsid w:val="00EC32BE"/>
    <w:rsid w:val="00EC41C3"/>
    <w:rsid w:val="00ED4492"/>
    <w:rsid w:val="00EE18AE"/>
    <w:rsid w:val="00EE4D23"/>
    <w:rsid w:val="00EF039E"/>
    <w:rsid w:val="00EF5305"/>
    <w:rsid w:val="00F06AFA"/>
    <w:rsid w:val="00F13E33"/>
    <w:rsid w:val="00F14AB9"/>
    <w:rsid w:val="00F1610D"/>
    <w:rsid w:val="00F16186"/>
    <w:rsid w:val="00F16223"/>
    <w:rsid w:val="00F164C6"/>
    <w:rsid w:val="00F20FEC"/>
    <w:rsid w:val="00F245B2"/>
    <w:rsid w:val="00F37450"/>
    <w:rsid w:val="00F37A7C"/>
    <w:rsid w:val="00F56B5B"/>
    <w:rsid w:val="00F57A32"/>
    <w:rsid w:val="00F66DE2"/>
    <w:rsid w:val="00F86A1F"/>
    <w:rsid w:val="00F909B3"/>
    <w:rsid w:val="00FA1526"/>
    <w:rsid w:val="00FA3758"/>
    <w:rsid w:val="00FB1A2C"/>
    <w:rsid w:val="00FB211D"/>
    <w:rsid w:val="00FC0D2F"/>
    <w:rsid w:val="00FC17E9"/>
    <w:rsid w:val="00FC43CC"/>
    <w:rsid w:val="00FC6747"/>
    <w:rsid w:val="00FC7FBA"/>
    <w:rsid w:val="00FD1DAC"/>
    <w:rsid w:val="00FF0637"/>
    <w:rsid w:val="00FF1E8E"/>
    <w:rsid w:val="00FF4D44"/>
    <w:rsid w:val="00FF7300"/>
    <w:rsid w:val="02443CCC"/>
    <w:rsid w:val="026C6D7F"/>
    <w:rsid w:val="02BE247E"/>
    <w:rsid w:val="03D74FDD"/>
    <w:rsid w:val="041D20C7"/>
    <w:rsid w:val="0442423B"/>
    <w:rsid w:val="04DA1A91"/>
    <w:rsid w:val="054E09BE"/>
    <w:rsid w:val="06F7539A"/>
    <w:rsid w:val="07350087"/>
    <w:rsid w:val="07640E8F"/>
    <w:rsid w:val="083614F0"/>
    <w:rsid w:val="08D12974"/>
    <w:rsid w:val="08DC6C8A"/>
    <w:rsid w:val="09C474A0"/>
    <w:rsid w:val="0A21354F"/>
    <w:rsid w:val="0BA349DB"/>
    <w:rsid w:val="0CBB30FD"/>
    <w:rsid w:val="0D974AE8"/>
    <w:rsid w:val="0E230C39"/>
    <w:rsid w:val="0EA0672E"/>
    <w:rsid w:val="0EF75085"/>
    <w:rsid w:val="0F690D4A"/>
    <w:rsid w:val="11D808D1"/>
    <w:rsid w:val="12E0359D"/>
    <w:rsid w:val="13682D04"/>
    <w:rsid w:val="13830225"/>
    <w:rsid w:val="13B14F39"/>
    <w:rsid w:val="15AA1C40"/>
    <w:rsid w:val="181141F9"/>
    <w:rsid w:val="19A8789F"/>
    <w:rsid w:val="1B8F5C72"/>
    <w:rsid w:val="1C4C75BF"/>
    <w:rsid w:val="1CD42C5F"/>
    <w:rsid w:val="1D216C8C"/>
    <w:rsid w:val="1E601A36"/>
    <w:rsid w:val="1F5E5F75"/>
    <w:rsid w:val="20AA4F87"/>
    <w:rsid w:val="260351AB"/>
    <w:rsid w:val="262C2930"/>
    <w:rsid w:val="26A1499A"/>
    <w:rsid w:val="27383550"/>
    <w:rsid w:val="27E437C3"/>
    <w:rsid w:val="28652521"/>
    <w:rsid w:val="286D77A8"/>
    <w:rsid w:val="28E219C5"/>
    <w:rsid w:val="29F25306"/>
    <w:rsid w:val="2AB7395D"/>
    <w:rsid w:val="2AD26FCD"/>
    <w:rsid w:val="2DCC5BE3"/>
    <w:rsid w:val="2EA339A5"/>
    <w:rsid w:val="2F7760A6"/>
    <w:rsid w:val="30817D16"/>
    <w:rsid w:val="30A026C3"/>
    <w:rsid w:val="3126266B"/>
    <w:rsid w:val="34A22009"/>
    <w:rsid w:val="374B6987"/>
    <w:rsid w:val="375E61E2"/>
    <w:rsid w:val="37D73BD3"/>
    <w:rsid w:val="383E473E"/>
    <w:rsid w:val="399C3C4D"/>
    <w:rsid w:val="39FC040D"/>
    <w:rsid w:val="3A2B1952"/>
    <w:rsid w:val="3B5878C5"/>
    <w:rsid w:val="3B765A19"/>
    <w:rsid w:val="3BC66F24"/>
    <w:rsid w:val="3C3C0F95"/>
    <w:rsid w:val="3C5E0F0B"/>
    <w:rsid w:val="3D8253C0"/>
    <w:rsid w:val="3D89020A"/>
    <w:rsid w:val="3DF022AF"/>
    <w:rsid w:val="3E5967E1"/>
    <w:rsid w:val="3EF721D5"/>
    <w:rsid w:val="3FB33EAA"/>
    <w:rsid w:val="40063D93"/>
    <w:rsid w:val="409F7D44"/>
    <w:rsid w:val="425A4FD8"/>
    <w:rsid w:val="428B3ABA"/>
    <w:rsid w:val="429658CC"/>
    <w:rsid w:val="42E94F55"/>
    <w:rsid w:val="44F93EC7"/>
    <w:rsid w:val="451707F1"/>
    <w:rsid w:val="45CD0EAF"/>
    <w:rsid w:val="45FD79E7"/>
    <w:rsid w:val="475F16FC"/>
    <w:rsid w:val="476F66C2"/>
    <w:rsid w:val="479C6D8B"/>
    <w:rsid w:val="47F824F3"/>
    <w:rsid w:val="486C0E54"/>
    <w:rsid w:val="4A4E5201"/>
    <w:rsid w:val="4D275349"/>
    <w:rsid w:val="4D98130A"/>
    <w:rsid w:val="4DFF1E22"/>
    <w:rsid w:val="4E8A5B90"/>
    <w:rsid w:val="4F021BCA"/>
    <w:rsid w:val="4F2761BD"/>
    <w:rsid w:val="4FB82BD0"/>
    <w:rsid w:val="4FB928EA"/>
    <w:rsid w:val="503438F6"/>
    <w:rsid w:val="50755C56"/>
    <w:rsid w:val="510B6F63"/>
    <w:rsid w:val="510E29EB"/>
    <w:rsid w:val="51F00C9C"/>
    <w:rsid w:val="51F47385"/>
    <w:rsid w:val="524644C3"/>
    <w:rsid w:val="52815E39"/>
    <w:rsid w:val="52880638"/>
    <w:rsid w:val="52A06B10"/>
    <w:rsid w:val="52F21F55"/>
    <w:rsid w:val="53055B12"/>
    <w:rsid w:val="53894668"/>
    <w:rsid w:val="53A414A2"/>
    <w:rsid w:val="53B96779"/>
    <w:rsid w:val="54FA66E2"/>
    <w:rsid w:val="55433B6B"/>
    <w:rsid w:val="572823EA"/>
    <w:rsid w:val="57325016"/>
    <w:rsid w:val="57596A47"/>
    <w:rsid w:val="579D6934"/>
    <w:rsid w:val="57EE28CF"/>
    <w:rsid w:val="58E442E2"/>
    <w:rsid w:val="590257DB"/>
    <w:rsid w:val="592F79B2"/>
    <w:rsid w:val="5A755946"/>
    <w:rsid w:val="5ACC12DE"/>
    <w:rsid w:val="5B5639C9"/>
    <w:rsid w:val="5BC052E6"/>
    <w:rsid w:val="5CBF734C"/>
    <w:rsid w:val="5DDB31D6"/>
    <w:rsid w:val="5DE11544"/>
    <w:rsid w:val="5E24290B"/>
    <w:rsid w:val="5F530220"/>
    <w:rsid w:val="60FD0443"/>
    <w:rsid w:val="612E29D1"/>
    <w:rsid w:val="61614A07"/>
    <w:rsid w:val="620A09E6"/>
    <w:rsid w:val="62426A55"/>
    <w:rsid w:val="62A579EA"/>
    <w:rsid w:val="62B074ED"/>
    <w:rsid w:val="62D82F16"/>
    <w:rsid w:val="63332681"/>
    <w:rsid w:val="65A82571"/>
    <w:rsid w:val="65CB4FB4"/>
    <w:rsid w:val="66540DEB"/>
    <w:rsid w:val="66C7577B"/>
    <w:rsid w:val="674566A0"/>
    <w:rsid w:val="67980EC5"/>
    <w:rsid w:val="682664D1"/>
    <w:rsid w:val="69C81D1D"/>
    <w:rsid w:val="6A8A6A26"/>
    <w:rsid w:val="6BC154C5"/>
    <w:rsid w:val="6D2E7C79"/>
    <w:rsid w:val="70650803"/>
    <w:rsid w:val="70D624AE"/>
    <w:rsid w:val="717B0325"/>
    <w:rsid w:val="73035661"/>
    <w:rsid w:val="74253AE1"/>
    <w:rsid w:val="75581C94"/>
    <w:rsid w:val="757A4300"/>
    <w:rsid w:val="75DB26A7"/>
    <w:rsid w:val="764206AB"/>
    <w:rsid w:val="766A6123"/>
    <w:rsid w:val="779C230C"/>
    <w:rsid w:val="77C047E1"/>
    <w:rsid w:val="77F75794"/>
    <w:rsid w:val="78B7290A"/>
    <w:rsid w:val="78EA3B44"/>
    <w:rsid w:val="79FC06DB"/>
    <w:rsid w:val="7AC0743F"/>
    <w:rsid w:val="7C4443B0"/>
    <w:rsid w:val="7D671BE7"/>
    <w:rsid w:val="7E17093E"/>
    <w:rsid w:val="7EF742CC"/>
    <w:rsid w:val="7F032C71"/>
    <w:rsid w:val="7F2D4191"/>
    <w:rsid w:val="7FD52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8"/>
    <w:unhideWhenUsed/>
    <w:qFormat/>
    <w:uiPriority w:val="99"/>
  </w:style>
  <w:style w:type="paragraph" w:styleId="3">
    <w:name w:val="footer"/>
    <w:basedOn w:val="1"/>
    <w:link w:val="13"/>
    <w:unhideWhenUsed/>
    <w:qFormat/>
    <w:uiPriority w:val="99"/>
    <w:pPr>
      <w:tabs>
        <w:tab w:val="center" w:pos="4153"/>
        <w:tab w:val="right" w:pos="8306"/>
      </w:tabs>
      <w:snapToGrid w:val="0"/>
      <w:spacing w:line="240" w:lineRule="auto"/>
    </w:pPr>
    <w:rPr>
      <w:sz w:val="18"/>
      <w:szCs w:val="18"/>
    </w:rPr>
  </w:style>
  <w:style w:type="paragraph" w:styleId="4">
    <w:name w:val="header"/>
    <w:basedOn w:val="1"/>
    <w:link w:val="12"/>
    <w:unhideWhenUsed/>
    <w:qFormat/>
    <w:uiPriority w:val="99"/>
    <w:pPr>
      <w:tabs>
        <w:tab w:val="center" w:pos="4153"/>
        <w:tab w:val="right" w:pos="8306"/>
      </w:tabs>
      <w:snapToGrid w:val="0"/>
      <w:spacing w:line="240" w:lineRule="auto"/>
      <w:jc w:val="center"/>
    </w:pPr>
    <w:rPr>
      <w:sz w:val="18"/>
      <w:szCs w:val="18"/>
    </w:rPr>
  </w:style>
  <w:style w:type="paragraph" w:styleId="5">
    <w:name w:val="Normal (Web)"/>
    <w:basedOn w:val="1"/>
    <w:semiHidden/>
    <w:unhideWhenUsed/>
    <w:qFormat/>
    <w:uiPriority w:val="99"/>
    <w:pPr>
      <w:spacing w:beforeAutospacing="1" w:after="0" w:afterAutospacing="1"/>
    </w:pPr>
    <w:rPr>
      <w:rFonts w:cs="Times New Roman"/>
      <w:kern w:val="0"/>
      <w:sz w:val="24"/>
    </w:rPr>
  </w:style>
  <w:style w:type="paragraph" w:styleId="6">
    <w:name w:val="Title"/>
    <w:basedOn w:val="1"/>
    <w:link w:val="11"/>
    <w:qFormat/>
    <w:uiPriority w:val="0"/>
    <w:pPr>
      <w:spacing w:before="240" w:after="60" w:line="240" w:lineRule="auto"/>
      <w:jc w:val="center"/>
      <w:outlineLvl w:val="0"/>
    </w:pPr>
    <w:rPr>
      <w:rFonts w:ascii="Arial" w:hAnsi="Arial" w:eastAsia="宋体" w:cs="Times New Roman"/>
      <w:b/>
      <w:sz w:val="32"/>
      <w14:ligatures w14:val="none"/>
    </w:rPr>
  </w:style>
  <w:style w:type="paragraph" w:styleId="7">
    <w:name w:val="annotation subject"/>
    <w:basedOn w:val="2"/>
    <w:next w:val="2"/>
    <w:link w:val="19"/>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标题 字符"/>
    <w:basedOn w:val="9"/>
    <w:link w:val="6"/>
    <w:qFormat/>
    <w:uiPriority w:val="0"/>
    <w:rPr>
      <w:rFonts w:ascii="Arial" w:hAnsi="Arial" w:eastAsia="宋体" w:cs="Times New Roman"/>
      <w:b/>
      <w:sz w:val="32"/>
      <w14:ligatures w14:val="none"/>
    </w:rPr>
  </w:style>
  <w:style w:type="character" w:customStyle="1" w:styleId="12">
    <w:name w:val="页眉 字符"/>
    <w:basedOn w:val="9"/>
    <w:link w:val="4"/>
    <w:qFormat/>
    <w:uiPriority w:val="99"/>
    <w:rPr>
      <w:sz w:val="18"/>
      <w:szCs w:val="18"/>
    </w:rPr>
  </w:style>
  <w:style w:type="character" w:customStyle="1" w:styleId="13">
    <w:name w:val="页脚 字符"/>
    <w:basedOn w:val="9"/>
    <w:link w:val="3"/>
    <w:qFormat/>
    <w:uiPriority w:val="99"/>
    <w:rPr>
      <w:sz w:val="18"/>
      <w:szCs w:val="18"/>
    </w:rPr>
  </w:style>
  <w:style w:type="paragraph" w:styleId="14">
    <w:name w:val="List Paragraph"/>
    <w:basedOn w:val="1"/>
    <w:qFormat/>
    <w:uiPriority w:val="34"/>
    <w:pPr>
      <w:ind w:firstLine="420" w:firstLineChars="200"/>
    </w:pPr>
  </w:style>
  <w:style w:type="paragraph" w:customStyle="1" w:styleId="15">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16">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17">
    <w:name w:val="修订3"/>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18">
    <w:name w:val="批注文字 字符"/>
    <w:basedOn w:val="9"/>
    <w:link w:val="2"/>
    <w:qFormat/>
    <w:uiPriority w:val="99"/>
    <w:rPr>
      <w:rFonts w:asciiTheme="minorHAnsi" w:hAnsiTheme="minorHAnsi" w:eastAsiaTheme="minorEastAsia" w:cstheme="minorBidi"/>
      <w:kern w:val="2"/>
      <w:sz w:val="22"/>
      <w:szCs w:val="24"/>
      <w14:ligatures w14:val="standardContextual"/>
    </w:rPr>
  </w:style>
  <w:style w:type="character" w:customStyle="1" w:styleId="19">
    <w:name w:val="批注主题 字符"/>
    <w:basedOn w:val="18"/>
    <w:link w:val="7"/>
    <w:semiHidden/>
    <w:qFormat/>
    <w:uiPriority w:val="99"/>
    <w:rPr>
      <w:rFonts w:asciiTheme="minorHAnsi" w:hAnsiTheme="minorHAnsi" w:eastAsiaTheme="minorEastAsia" w:cstheme="minorBidi"/>
      <w:b/>
      <w:bCs/>
      <w:kern w:val="2"/>
      <w:sz w:val="22"/>
      <w:szCs w:val="24"/>
      <w14:ligatures w14:val="standardContextual"/>
    </w:rPr>
  </w:style>
  <w:style w:type="paragraph" w:customStyle="1" w:styleId="20">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2884</Words>
  <Characters>3599</Characters>
  <Lines>110</Lines>
  <Paragraphs>103</Paragraphs>
  <TotalTime>313</TotalTime>
  <ScaleCrop>false</ScaleCrop>
  <LinksUpToDate>false</LinksUpToDate>
  <CharactersWithSpaces>3695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2026-05-28T04:32:00Z</dcterms:created>
  <dc:creator>曦 晨</dc:creator>
  <cp:lastModifiedBy>医信中心</cp:lastModifiedBy>
  <cp:lastPrinted>2026-08-07T09:18:00Z</cp:lastPrinted>
  <dcterms:modified xsi:type="dcterms:W3CDTF">2026-08-11T02:12:21Z</dcterms:modified>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F4B1B1B2729B41218432BC00ED96C368_13</vt:lpwstr>
  </property>
  <property fmtid="{D5CDD505-2E9C-101B-9397-08002B2CF9AE}" pid="4" name="KSOTemplateDocerSaveRecord">
    <vt:lpwstr>eyJoZGlkIjoiZjc2NzhhMGJhYjYxNzk4NzgwNjc5MTE4ZjFmMzI0MTUiLCJ1c2VySWQiOiI0NDkzNjAxODIifQ==</vt:lpwstr>
  </property>
</Properties>
</file>