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D27F5">
      <w:pPr>
        <w:jc w:val="center"/>
        <w:rPr>
          <w:rFonts w:hint="default" w:ascii="方正公文小标宋" w:hAnsi="方正公文小标宋" w:eastAsia="方正公文小标宋" w:cs="方正公文小标宋"/>
          <w:sz w:val="40"/>
          <w:szCs w:val="40"/>
          <w:lang w:val="en-US" w:eastAsia="zh-CN"/>
        </w:rPr>
      </w:pPr>
      <w:r>
        <w:rPr>
          <w:rFonts w:hint="eastAsia" w:ascii="方正公文小标宋" w:hAnsi="方正公文小标宋" w:eastAsia="方正公文小标宋" w:cs="方正公文小标宋"/>
          <w:sz w:val="40"/>
          <w:szCs w:val="40"/>
          <w:lang w:val="en-US" w:eastAsia="zh-CN"/>
        </w:rPr>
        <w:t>中山大学附属第一医院广西医院药品快递配送到家服务项目需求及评分办法</w:t>
      </w:r>
    </w:p>
    <w:p w14:paraId="77140AA2">
      <w:pPr>
        <w:pStyle w:val="3"/>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val="en-US" w:eastAsia="zh-CN"/>
        </w:rPr>
        <w:t>一、</w:t>
      </w:r>
      <w:r>
        <w:rPr>
          <w:rFonts w:hint="eastAsia" w:ascii="仿宋_GB2312" w:hAnsi="仿宋_GB2312" w:eastAsia="仿宋_GB2312" w:cs="仿宋_GB2312"/>
          <w:b/>
          <w:sz w:val="24"/>
          <w:szCs w:val="24"/>
          <w:lang w:eastAsia="zh-CN"/>
        </w:rPr>
        <w:t>服务内容及要求</w:t>
      </w:r>
    </w:p>
    <w:p w14:paraId="77140AA3">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1.快递时效性要求</w:t>
      </w:r>
    </w:p>
    <w:p w14:paraId="77140AA4">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sz w:val="24"/>
          <w:szCs w:val="24"/>
          <w:lang w:eastAsia="zh-CN"/>
        </w:rPr>
        <w:t>（1）发往全国各地的快递：</w:t>
      </w:r>
      <w:r>
        <w:rPr>
          <w:rFonts w:hint="eastAsia" w:ascii="仿宋_GB2312" w:hAnsi="仿宋_GB2312" w:eastAsia="仿宋_GB2312" w:cs="仿宋_GB2312"/>
          <w:sz w:val="24"/>
          <w:szCs w:val="24"/>
          <w:lang w:val="en-US" w:eastAsia="zh-CN"/>
        </w:rPr>
        <w:t>广西区</w:t>
      </w:r>
      <w:r>
        <w:rPr>
          <w:rFonts w:hint="eastAsia" w:ascii="仿宋_GB2312" w:hAnsi="仿宋_GB2312" w:eastAsia="仿宋_GB2312" w:cs="仿宋_GB2312"/>
          <w:sz w:val="24"/>
          <w:szCs w:val="24"/>
          <w:lang w:eastAsia="zh-CN"/>
        </w:rPr>
        <w:t>内件48小时内到达；</w:t>
      </w:r>
      <w:r>
        <w:rPr>
          <w:rFonts w:hint="eastAsia" w:ascii="仿宋_GB2312" w:hAnsi="仿宋_GB2312" w:eastAsia="仿宋_GB2312" w:cs="仿宋_GB2312"/>
          <w:sz w:val="24"/>
          <w:szCs w:val="24"/>
          <w:lang w:val="en-US" w:eastAsia="zh-CN"/>
        </w:rPr>
        <w:t>区</w:t>
      </w:r>
      <w:r>
        <w:rPr>
          <w:rFonts w:hint="eastAsia" w:ascii="仿宋_GB2312" w:hAnsi="仿宋_GB2312" w:eastAsia="仿宋_GB2312" w:cs="仿宋_GB2312"/>
          <w:sz w:val="24"/>
          <w:szCs w:val="24"/>
          <w:lang w:eastAsia="zh-CN"/>
        </w:rPr>
        <w:t>外件72小时内到达（偏远地区在以上派送时间基础上加半天或一天）；港澳72小时内到达，台湾地区10日内到达。</w:t>
      </w:r>
    </w:p>
    <w:p w14:paraId="77140AA5">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（2）每天至少寄出2次，上午和下午分别1次，当天所有快件全部寄出。如遇</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需要，</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须按</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要求增加临时寄出次数。</w:t>
      </w:r>
    </w:p>
    <w:p w14:paraId="77140AA6">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须提供急送服务及专属业务对接人。</w:t>
      </w:r>
    </w:p>
    <w:p w14:paraId="77140AA7">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（4）为保证快件不受运力、运输等因素影响，</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须具有铁路运输及航空运输能力。</w:t>
      </w:r>
    </w:p>
    <w:p w14:paraId="77140AA8">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Style w:val="8"/>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（5）快递送达时间按每单快递从揽件到送达收件方指定地址的时间计算，不得以各种理由拒绝或延缓送货上门，不得以任何理由私自加收手续费等任何费用。</w:t>
      </w:r>
      <w:r>
        <w:rPr>
          <w:rStyle w:val="8"/>
          <w:rFonts w:hint="eastAsia" w:ascii="仿宋_GB2312" w:hAnsi="仿宋_GB2312" w:eastAsia="仿宋_GB2312" w:cs="仿宋_GB2312"/>
          <w:sz w:val="24"/>
          <w:szCs w:val="24"/>
          <w:lang w:val="en-US" w:eastAsia="zh-CN"/>
        </w:rPr>
        <w:t>快递公司</w:t>
      </w:r>
      <w:r>
        <w:rPr>
          <w:rStyle w:val="8"/>
          <w:rFonts w:hint="eastAsia" w:ascii="仿宋_GB2312" w:hAnsi="仿宋_GB2312" w:eastAsia="仿宋_GB2312" w:cs="仿宋_GB2312"/>
          <w:sz w:val="24"/>
          <w:szCs w:val="24"/>
          <w:lang w:eastAsia="zh-CN"/>
        </w:rPr>
        <w:t>为本项目提供业务收取服务费不得高于</w:t>
      </w:r>
      <w:r>
        <w:rPr>
          <w:rStyle w:val="8"/>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向其他客户提供</w:t>
      </w:r>
      <w:r>
        <w:rPr>
          <w:rStyle w:val="8"/>
          <w:rFonts w:hint="eastAsia" w:ascii="仿宋_GB2312" w:hAnsi="仿宋_GB2312" w:eastAsia="仿宋_GB2312" w:cs="仿宋_GB2312"/>
          <w:sz w:val="24"/>
          <w:szCs w:val="24"/>
          <w:lang w:eastAsia="zh-CN"/>
        </w:rPr>
        <w:t>同类业务服务费金额。</w:t>
      </w:r>
    </w:p>
    <w:p w14:paraId="77140AA9">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2.冷链管理</w:t>
      </w:r>
    </w:p>
    <w:p w14:paraId="77140AAA">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（1）提供一定数量的符合规定且经过验证的冷链设备</w:t>
      </w:r>
      <w:r>
        <w:rPr>
          <w:rStyle w:val="8"/>
          <w:rFonts w:hint="eastAsia" w:ascii="仿宋_GB2312" w:hAnsi="仿宋_GB2312" w:eastAsia="仿宋_GB2312" w:cs="仿宋_GB2312"/>
          <w:sz w:val="24"/>
          <w:szCs w:val="24"/>
          <w:lang w:eastAsia="zh-CN"/>
        </w:rPr>
        <w:t>以</w:t>
      </w:r>
      <w:r>
        <w:rPr>
          <w:rFonts w:hint="eastAsia" w:ascii="仿宋_GB2312" w:hAnsi="仿宋_GB2312" w:eastAsia="仿宋_GB2312" w:cs="仿宋_GB2312"/>
          <w:sz w:val="24"/>
          <w:szCs w:val="24"/>
          <w:lang w:eastAsia="zh-CN"/>
        </w:rPr>
        <w:t>保证合同正常实施，并提供相应设备预处理及货物包装服务，协助运输有温度要求的货品。</w:t>
      </w:r>
    </w:p>
    <w:p w14:paraId="77140AAB">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（2）在运输途中应定时监控温度，发现异常情况须及时通知</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并采取措施防止损失发生，保证运输货物的安全，并可提供全过程温度数据,数据可溯源。</w:t>
      </w:r>
    </w:p>
    <w:p w14:paraId="77140AAC">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（3）配有自营冷藏车和相应的温控箱设备。</w:t>
      </w:r>
    </w:p>
    <w:p w14:paraId="77140AAD">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3.信息系统接口对接及信息反馈</w:t>
      </w:r>
    </w:p>
    <w:p w14:paraId="77140AAE">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（1）系统对接：</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可按</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要求，与</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HIS系统接口对接物流全程跟踪查询系统，邮件处理全环节跟踪信息，通过接口实时反馈到</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系统，直至快递妥投，实现项目闭环管理；包含邮件妥投、未妥投、久无信息更新等内容，</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可在</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系统实现快递信息实时查询功能。</w:t>
      </w:r>
    </w:p>
    <w:p w14:paraId="77140AA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系统与</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HIS系统接口对接产生的费用由</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承担。</w:t>
      </w:r>
    </w:p>
    <w:p w14:paraId="77140AB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（3）快递信息实时查询功能：患者可在</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的公众号实时查询快递的物流信息，清楚知道药品的流向，如物流有异常可清晰知道处理方式与联系电话。</w:t>
      </w:r>
    </w:p>
    <w:p w14:paraId="77140AB1">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（4）快件的互联网查询时间应为一周7天，每天24小时；快件电话人工查询受理时间应为一周7天，每天应不少于8小时。对于</w:t>
      </w:r>
      <w:r>
        <w:rPr>
          <w:rFonts w:hint="eastAsia" w:ascii="仿宋_GB2312" w:hAnsi="仿宋_GB2312" w:eastAsia="仿宋_GB2312" w:cs="仿宋_GB2312"/>
          <w:sz w:val="24"/>
          <w:szCs w:val="24"/>
          <w:lang w:val="en-US" w:eastAsia="zh-CN"/>
        </w:rPr>
        <w:t>患者</w:t>
      </w:r>
      <w:r>
        <w:rPr>
          <w:rFonts w:hint="eastAsia" w:ascii="仿宋_GB2312" w:hAnsi="仿宋_GB2312" w:eastAsia="仿宋_GB2312" w:cs="仿宋_GB2312"/>
          <w:sz w:val="24"/>
          <w:szCs w:val="24"/>
          <w:lang w:eastAsia="zh-CN"/>
        </w:rPr>
        <w:t>通过电话人工查询的快件，</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应在30分钟内回复告知用户。</w:t>
      </w:r>
    </w:p>
    <w:p w14:paraId="77140AB2">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每月需提交一份数据分析报告，数据包括但不限于：要求时效内快件送达率、误投率、丢件率、损坏率、赔付时效等。</w:t>
      </w:r>
    </w:p>
    <w:p w14:paraId="77140AB3">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4.人员管理</w:t>
      </w:r>
    </w:p>
    <w:p w14:paraId="77140AB4">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（1）为方便快递快速、安全处理，</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须设置与</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药学部对接的专项服务团队，指派不少于</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名业务素质高、工作责任心强的业务员专人服务医院，负责快递交寄、封装、分拣、信息录入、寄送信息核对、问题反馈及跟进等工作，</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指派团队成员固定，不得使用试工、实习工和兼职工，未经</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允许不可随意更换团队成员；如业务量较多时按</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要求增加相应服务人员。</w:t>
      </w:r>
    </w:p>
    <w:p w14:paraId="77140AB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须设置专业的项目管理团队。</w:t>
      </w:r>
    </w:p>
    <w:p w14:paraId="77140AB6">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须设立专门对口的服务监督热线，设立1名对口的主管或者经理，在收寄、投递、查询、投诉处理等环节出现问题时能直接、及时进行沟通。</w:t>
      </w:r>
    </w:p>
    <w:p w14:paraId="77140AB7">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须设立投诉客服专门岗位，设立一名熟悉本项目和药品快递业务的人员任职。</w:t>
      </w:r>
    </w:p>
    <w:p w14:paraId="77140AB8">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5.安全性</w:t>
      </w:r>
    </w:p>
    <w:p w14:paraId="77140AB9">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建立完备的安全保障机制，保证数据安全性及保密性，严格做好患者基本信息、处方信息的保密工作，不得私自使用数据（包含医生信息、患者信息和处方信息等），不得自行使用或向其他任何第三方提供包括但不限于患者、医生和药品等相关的任何数据信息及资料，不得以任何形式进行处方统方。如需实现</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系统对接快递物流全程跟踪查询系统时，须通过信息系统安全等级保护（三级）测评。</w:t>
      </w:r>
    </w:p>
    <w:p w14:paraId="77140ABA">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6.异常处理</w:t>
      </w:r>
    </w:p>
    <w:p w14:paraId="77140ABB">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具备跨区域异常处理问题的能力与资源，并同时快速响应。能根据异常问题属性建立不同的线上或线下处理机制，处理反应迅捷；货品破损赔付承诺处理方式，应建立全程专人对接，赔付简便快捷。</w:t>
      </w:r>
    </w:p>
    <w:p w14:paraId="77140ABC">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（2）如配送过程中出现异常或偏差的，必须第一时间上报</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的项目负责人。</w:t>
      </w:r>
    </w:p>
    <w:p w14:paraId="77140ABD">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应在投递前联系收件人，当出现快件无法投递情况时，应采取以下措施：</w:t>
      </w:r>
    </w:p>
    <w:p w14:paraId="77140ABE">
      <w:pPr>
        <w:keepNext w:val="0"/>
        <w:keepLines w:val="0"/>
        <w:pageBreakBefore w:val="0"/>
        <w:kinsoku/>
        <w:wordWrap/>
        <w:overflowPunct/>
        <w:topLinePunct w:val="0"/>
        <w:autoSpaceDE/>
        <w:autoSpaceDN/>
        <w:bidi w:val="0"/>
        <w:adjustRightInd/>
        <w:snapToGrid/>
        <w:spacing w:line="480" w:lineRule="exact"/>
        <w:ind w:left="420" w:firstLine="120" w:firstLineChars="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1）首次无法投递时，应主动联系收件人，通知复投的时间及联系方法；</w:t>
      </w:r>
    </w:p>
    <w:p w14:paraId="77140ABF">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2）复投仍无法投递，可通知收件人采用自取的方式，并告知收件人自取的地点和工作时间；</w:t>
      </w:r>
    </w:p>
    <w:p w14:paraId="77140AC0">
      <w:pPr>
        <w:keepNext w:val="0"/>
        <w:keepLines w:val="0"/>
        <w:pageBreakBefore w:val="0"/>
        <w:kinsoku/>
        <w:wordWrap/>
        <w:overflowPunct/>
        <w:topLinePunct w:val="0"/>
        <w:autoSpaceDE/>
        <w:autoSpaceDN/>
        <w:bidi w:val="0"/>
        <w:adjustRightInd/>
        <w:snapToGrid/>
        <w:spacing w:line="480" w:lineRule="exact"/>
        <w:ind w:left="420" w:firstLine="120" w:firstLineChars="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3）若联系不到收件人，或收件人拒收快件，</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应在彻底延误时限到达之前通知寄件人，协商处理办法；</w:t>
      </w:r>
    </w:p>
    <w:p w14:paraId="77140AC1">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4）如最终协商结果为快递需要退回寄件人，来回产生的运费由</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进行免除。</w:t>
      </w:r>
      <w:r>
        <w:rPr>
          <w:rStyle w:val="8"/>
          <w:rFonts w:hint="eastAsia" w:ascii="仿宋_GB2312" w:hAnsi="仿宋_GB2312" w:eastAsia="仿宋_GB2312" w:cs="仿宋_GB2312"/>
          <w:sz w:val="24"/>
          <w:szCs w:val="24"/>
          <w:lang w:eastAsia="zh-CN"/>
        </w:rPr>
        <w:t>在协商过程中，如有对储存环境有特殊要求的药品，</w:t>
      </w:r>
      <w:r>
        <w:rPr>
          <w:rFonts w:hint="eastAsia" w:ascii="仿宋_GB2312" w:hAnsi="仿宋_GB2312" w:eastAsia="仿宋_GB2312" w:cs="仿宋_GB2312"/>
          <w:sz w:val="24"/>
          <w:szCs w:val="24"/>
          <w:lang w:val="en-US" w:eastAsia="zh-CN"/>
        </w:rPr>
        <w:t>快递公司</w:t>
      </w:r>
      <w:r>
        <w:rPr>
          <w:rStyle w:val="8"/>
          <w:rFonts w:hint="eastAsia" w:ascii="仿宋_GB2312" w:hAnsi="仿宋_GB2312" w:eastAsia="仿宋_GB2312" w:cs="仿宋_GB2312"/>
          <w:sz w:val="24"/>
          <w:szCs w:val="24"/>
          <w:lang w:eastAsia="zh-CN"/>
        </w:rPr>
        <w:t>需保证药品储存环境。</w:t>
      </w:r>
    </w:p>
    <w:p w14:paraId="77140AC2">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7.投诉与申诉处理</w:t>
      </w:r>
    </w:p>
    <w:p w14:paraId="77140AC3">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应提供投诉服务热线，收到投诉时，应对投诉信息进行分析，提出处理方案，制定补救措施，按服务承诺及时处理；</w:t>
      </w:r>
    </w:p>
    <w:p w14:paraId="77140AC4">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（2）投诉处理完毕，</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应在处理时限内及时将处理结果告知</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的项目负责人；</w:t>
      </w:r>
    </w:p>
    <w:p w14:paraId="77140AC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（3）若收件人对处理结果不满意，</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应告知其他可用的处理方式；</w:t>
      </w:r>
    </w:p>
    <w:p w14:paraId="77140AC6">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应根据投诉信息统计分析结果，采取措施改进服务质量；</w:t>
      </w:r>
    </w:p>
    <w:p w14:paraId="77140AC7">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w:t>
      </w:r>
      <w:r>
        <w:rPr>
          <w:rFonts w:hint="eastAsia" w:ascii="仿宋_GB2312" w:hAnsi="仿宋_GB2312" w:eastAsia="仿宋_GB2312" w:cs="仿宋_GB2312"/>
          <w:sz w:val="24"/>
        </w:rPr>
        <w:t>收件人向快递公司投诉逾30日未得答复，或对答复结果不予接受的，可直接向邮政管理部门申诉。针对快递公司不予配合的情形，医院相关部门将主动向邮政管理部门提交情况说明。</w:t>
      </w:r>
    </w:p>
    <w:p w14:paraId="77140AC8">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8.责任与赔偿</w:t>
      </w:r>
    </w:p>
    <w:p w14:paraId="77140AC9">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必须购买足额保险并做到快递完好无损的100%投递到位，保证物流投递的准确性和及时性；如因药品配送造成的包括但不限于延误、投递错误、贴单错误、丢件、药品损坏等纠纷及争议，均由</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进行解释说明处理并承担因此而产生的法律责任和经济责任；且损坏的药品须按药品原价格赔偿，应在5个工作日内完成赔偿，</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不得以任何理由拒绝。</w:t>
      </w:r>
    </w:p>
    <w:p w14:paraId="77140ACA">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发现</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恶意骗取邮寄费时，有权要求</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赔偿、作出书面说明及承诺，有权要求更换服务人员，有权单方面解除与合作方的合同。</w:t>
      </w:r>
    </w:p>
    <w:p w14:paraId="77140ACB">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9.配套设备要求</w:t>
      </w:r>
    </w:p>
    <w:p w14:paraId="77140ACC">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应具备以下物品（包括但不限于）：计算机，快递运单打印机、拍照存底设备、打印纸、封箱胶袋、各种规格纸箱、各种规格冷藏泡沫箱、冰块、编织袋等快递发货配套物品。</w:t>
      </w:r>
    </w:p>
    <w:p w14:paraId="77140ACD">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10.快递末端网点要求</w:t>
      </w:r>
    </w:p>
    <w:p w14:paraId="77140ACE">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的快递末端网点均为自营网点。</w:t>
      </w:r>
    </w:p>
    <w:p w14:paraId="77140ACF">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11.档案的保存期限</w:t>
      </w:r>
    </w:p>
    <w:p w14:paraId="77140AD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（1）国内快件运单的实物单据，保存期限应满足快件纠纷及赔偿处理的需要，自投递完成之日起应不少于1年，相应的电子档案（包含拍照存底的照片）保存期限应不少于3年。</w:t>
      </w:r>
    </w:p>
    <w:p w14:paraId="77140AD1">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（2）港澳台快件运单的实物单据，保存期限应不少于6个月。其他档案的保存期限应满足相关法律法规要求。</w:t>
      </w:r>
    </w:p>
    <w:p w14:paraId="77140AD2">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12．其他要求</w:t>
      </w:r>
    </w:p>
    <w:p w14:paraId="77140AD3">
      <w:pPr>
        <w:keepNext w:val="0"/>
        <w:keepLines w:val="0"/>
        <w:pageBreakBefore w:val="0"/>
        <w:kinsoku/>
        <w:wordWrap/>
        <w:overflowPunct/>
        <w:topLinePunct w:val="0"/>
        <w:autoSpaceDE/>
        <w:autoSpaceDN/>
        <w:bidi w:val="0"/>
        <w:adjustRightInd/>
        <w:snapToGrid/>
        <w:spacing w:line="480" w:lineRule="exact"/>
        <w:ind w:firstLine="360" w:firstLineChars="150"/>
        <w:jc w:val="both"/>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sz w:val="24"/>
          <w:szCs w:val="24"/>
          <w:lang w:eastAsia="zh-CN"/>
        </w:rPr>
        <w:t>成交供应商应遵循《快递服务》系列国家标准，分别是GB/T 27917.1-2023《快递服务 第1部分：基本术语》、GB/T 27917.2-2023《快递服务 第2部分：组织要求》和GB/T 27917.3-2023《快递服务 第3部分：服务环节》三项国家标准。</w:t>
      </w:r>
    </w:p>
    <w:p w14:paraId="77140AD4">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kern w:val="2"/>
          <w:sz w:val="24"/>
          <w:szCs w:val="24"/>
          <w:lang w:eastAsia="zh-CN"/>
        </w:rPr>
      </w:pPr>
      <w:r>
        <w:rPr>
          <w:rFonts w:hint="eastAsia" w:ascii="仿宋_GB2312" w:hAnsi="仿宋_GB2312" w:eastAsia="仿宋_GB2312" w:cs="仿宋_GB2312"/>
          <w:b/>
          <w:kern w:val="2"/>
          <w:sz w:val="24"/>
          <w:szCs w:val="24"/>
          <w:lang w:eastAsia="zh-CN"/>
        </w:rPr>
        <w:t>13.质量要求</w:t>
      </w:r>
    </w:p>
    <w:p w14:paraId="77140AD5">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kern w:val="2"/>
          <w:sz w:val="24"/>
          <w:szCs w:val="24"/>
        </w:rPr>
        <w:t>应对其配送药品、器械的人员加强职业操守,服务规范、作业规范、职业技能、安全生产等方面的教育和培训。</w:t>
      </w:r>
    </w:p>
    <w:p w14:paraId="77140AD6">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（2）配送药品、器械的车辆必须采用密闭厢式运输车辆运输，并能在实时运输过程中监控温度。</w:t>
      </w:r>
    </w:p>
    <w:p w14:paraId="77140AD7">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（3）</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kern w:val="2"/>
          <w:sz w:val="24"/>
          <w:szCs w:val="24"/>
        </w:rPr>
        <w:t>承诺服务于本项目运输冷藏品的保温箱和冷藏车必须经过温度验证合格，用于监控温度的温度计必须经过法定计量单位校准合格后方能使用。</w:t>
      </w:r>
    </w:p>
    <w:p w14:paraId="77140AD8">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（4）</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kern w:val="2"/>
          <w:sz w:val="24"/>
          <w:szCs w:val="24"/>
        </w:rPr>
        <w:t>收件时需对药品快递进行包装并检查，保证快件打包质量，如配送过程中出现异常或偏差的，必须第一时间上报</w:t>
      </w:r>
      <w:r>
        <w:rPr>
          <w:rFonts w:hint="eastAsia" w:ascii="仿宋_GB2312" w:hAnsi="仿宋_GB2312" w:eastAsia="仿宋_GB2312" w:cs="仿宋_GB2312"/>
          <w:kern w:val="2"/>
          <w:sz w:val="24"/>
          <w:szCs w:val="24"/>
          <w:lang w:val="en-US" w:eastAsia="zh-CN"/>
        </w:rPr>
        <w:t>医院</w:t>
      </w:r>
      <w:r>
        <w:rPr>
          <w:rFonts w:hint="eastAsia" w:ascii="仿宋_GB2312" w:hAnsi="仿宋_GB2312" w:eastAsia="仿宋_GB2312" w:cs="仿宋_GB2312"/>
          <w:kern w:val="2"/>
          <w:sz w:val="24"/>
          <w:szCs w:val="24"/>
        </w:rPr>
        <w:t>。</w:t>
      </w:r>
    </w:p>
    <w:p w14:paraId="77140AD9">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14.操作规范性</w:t>
      </w:r>
    </w:p>
    <w:p w14:paraId="77140ADA">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（1）保护性包装纸质文件、资料，使其到达收件人手中无破损无明显折痕；</w:t>
      </w:r>
    </w:p>
    <w:p w14:paraId="77140ADB">
      <w:pPr>
        <w:pStyle w:val="9"/>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（2）快件称重准确到小数点后一位。</w:t>
      </w:r>
    </w:p>
    <w:p w14:paraId="77140ADC">
      <w:pPr>
        <w:pStyle w:val="11"/>
        <w:keepNext w:val="0"/>
        <w:keepLines w:val="0"/>
        <w:pageBreakBefore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2"/>
          <w:sz w:val="24"/>
          <w:szCs w:val="24"/>
        </w:rPr>
        <w:t>（3）</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kern w:val="2"/>
          <w:sz w:val="24"/>
          <w:szCs w:val="24"/>
        </w:rPr>
        <w:t>须严格遵守</w:t>
      </w:r>
      <w:r>
        <w:rPr>
          <w:rFonts w:hint="eastAsia" w:ascii="仿宋_GB2312" w:hAnsi="仿宋_GB2312" w:eastAsia="仿宋_GB2312" w:cs="仿宋_GB2312"/>
          <w:kern w:val="2"/>
          <w:sz w:val="24"/>
          <w:szCs w:val="24"/>
          <w:lang w:val="en-US" w:eastAsia="zh-CN"/>
        </w:rPr>
        <w:t>医院</w:t>
      </w:r>
      <w:r>
        <w:rPr>
          <w:rFonts w:hint="eastAsia" w:ascii="仿宋_GB2312" w:hAnsi="仿宋_GB2312" w:eastAsia="仿宋_GB2312" w:cs="仿宋_GB2312"/>
          <w:kern w:val="2"/>
          <w:sz w:val="24"/>
          <w:szCs w:val="24"/>
        </w:rPr>
        <w:t>药房制定的工作标准及流程。</w:t>
      </w:r>
    </w:p>
    <w:p w14:paraId="77140ADD">
      <w:pPr>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15.其它要求</w:t>
      </w:r>
    </w:p>
    <w:p w14:paraId="77140ADE">
      <w:pPr>
        <w:keepNext w:val="0"/>
        <w:keepLines w:val="0"/>
        <w:pageBreakBefore w:val="0"/>
        <w:kinsoku/>
        <w:wordWrap/>
        <w:overflowPunct/>
        <w:topLinePunct w:val="0"/>
        <w:autoSpaceDE/>
        <w:autoSpaceDN/>
        <w:bidi w:val="0"/>
        <w:adjustRightInd/>
        <w:snapToGrid/>
        <w:spacing w:line="480" w:lineRule="exact"/>
        <w:ind w:firstLine="600" w:firstLineChars="2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sz w:val="24"/>
          <w:szCs w:val="24"/>
          <w:lang w:eastAsia="zh-CN"/>
        </w:rPr>
        <w:t>严格按照《中华人民共和国邮政法》《快递暂行条例》《快递市场管理办法》《快递业务经营许可管理办法》《国家邮政业突发事件应急预案》及其他相关法律法规规定提供快递服务。</w:t>
      </w:r>
    </w:p>
    <w:p w14:paraId="77140ADF">
      <w:pPr>
        <w:keepNext w:val="0"/>
        <w:keepLines w:val="0"/>
        <w:pageBreakBefore w:val="0"/>
        <w:kinsoku/>
        <w:wordWrap/>
        <w:overflowPunct/>
        <w:topLinePunct w:val="0"/>
        <w:autoSpaceDE/>
        <w:autoSpaceDN/>
        <w:bidi w:val="0"/>
        <w:adjustRightInd/>
        <w:snapToGrid/>
        <w:spacing w:line="480" w:lineRule="exact"/>
        <w:ind w:firstLine="360" w:firstLineChars="15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（2）承诺全年不分节假日提供服务。</w:t>
      </w:r>
    </w:p>
    <w:p w14:paraId="77140AE0">
      <w:pPr>
        <w:pStyle w:val="3"/>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第二条、转包或分包</w:t>
      </w:r>
    </w:p>
    <w:p w14:paraId="77140AE1">
      <w:pPr>
        <w:pStyle w:val="3"/>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lang w:eastAsia="zh-CN"/>
        </w:rPr>
        <w:t>不允许</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bCs/>
          <w:sz w:val="24"/>
          <w:szCs w:val="24"/>
          <w:lang w:eastAsia="zh-CN"/>
        </w:rPr>
        <w:t>分包或转包，一旦发现将视为</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bCs/>
          <w:sz w:val="24"/>
          <w:szCs w:val="24"/>
          <w:lang w:eastAsia="zh-CN"/>
        </w:rPr>
        <w:t>违约，</w:t>
      </w:r>
      <w:r>
        <w:rPr>
          <w:rFonts w:hint="eastAsia" w:ascii="仿宋_GB2312" w:hAnsi="仿宋_GB2312" w:eastAsia="仿宋_GB2312" w:cs="仿宋_GB2312"/>
          <w:bCs/>
          <w:sz w:val="24"/>
          <w:szCs w:val="24"/>
          <w:lang w:val="en-US" w:eastAsia="zh-CN"/>
        </w:rPr>
        <w:t>医院</w:t>
      </w:r>
      <w:r>
        <w:rPr>
          <w:rFonts w:hint="eastAsia" w:ascii="仿宋_GB2312" w:hAnsi="仿宋_GB2312" w:eastAsia="仿宋_GB2312" w:cs="仿宋_GB2312"/>
          <w:bCs/>
          <w:sz w:val="24"/>
          <w:szCs w:val="24"/>
          <w:lang w:eastAsia="zh-CN"/>
        </w:rPr>
        <w:t>有权单方面解除合同，并且</w:t>
      </w:r>
      <w:r>
        <w:rPr>
          <w:rFonts w:hint="eastAsia" w:ascii="仿宋_GB2312" w:hAnsi="仿宋_GB2312" w:eastAsia="仿宋_GB2312" w:cs="仿宋_GB2312"/>
          <w:sz w:val="24"/>
          <w:szCs w:val="24"/>
          <w:lang w:val="en-US" w:eastAsia="zh-CN"/>
        </w:rPr>
        <w:t>快递公司</w:t>
      </w:r>
      <w:r>
        <w:rPr>
          <w:rFonts w:hint="eastAsia" w:ascii="仿宋_GB2312" w:hAnsi="仿宋_GB2312" w:eastAsia="仿宋_GB2312" w:cs="仿宋_GB2312"/>
          <w:bCs/>
          <w:sz w:val="24"/>
          <w:szCs w:val="24"/>
          <w:lang w:eastAsia="zh-CN"/>
        </w:rPr>
        <w:t>还须承担由此给</w:t>
      </w:r>
      <w:r>
        <w:rPr>
          <w:rFonts w:hint="eastAsia" w:ascii="仿宋_GB2312" w:hAnsi="仿宋_GB2312" w:eastAsia="仿宋_GB2312" w:cs="仿宋_GB2312"/>
          <w:bCs/>
          <w:sz w:val="24"/>
          <w:szCs w:val="24"/>
          <w:lang w:val="en-US" w:eastAsia="zh-CN"/>
        </w:rPr>
        <w:t>医院</w:t>
      </w:r>
      <w:r>
        <w:rPr>
          <w:rFonts w:hint="eastAsia" w:ascii="仿宋_GB2312" w:hAnsi="仿宋_GB2312" w:eastAsia="仿宋_GB2312" w:cs="仿宋_GB2312"/>
          <w:bCs/>
          <w:sz w:val="24"/>
          <w:szCs w:val="24"/>
          <w:lang w:eastAsia="zh-CN"/>
        </w:rPr>
        <w:t>或第三方造成的经济赔偿和承担相应的法律责任。</w:t>
      </w:r>
    </w:p>
    <w:p w14:paraId="77140AE2">
      <w:pPr>
        <w:pStyle w:val="3"/>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第三条、服务金额结算方式</w:t>
      </w:r>
    </w:p>
    <w:p w14:paraId="77140AE3">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1.在服务期间，无论任何因素，均以</w:t>
      </w:r>
      <w:r>
        <w:rPr>
          <w:rFonts w:hint="eastAsia" w:ascii="仿宋_GB2312" w:hAnsi="仿宋_GB2312" w:eastAsia="仿宋_GB2312" w:cs="仿宋_GB2312"/>
          <w:sz w:val="24"/>
          <w:szCs w:val="24"/>
          <w:lang w:val="en-US" w:eastAsia="zh-CN"/>
        </w:rPr>
        <w:t>合同</w:t>
      </w:r>
      <w:r>
        <w:rPr>
          <w:rFonts w:hint="eastAsia" w:ascii="仿宋_GB2312" w:hAnsi="仿宋_GB2312" w:eastAsia="仿宋_GB2312" w:cs="仿宋_GB2312"/>
          <w:sz w:val="24"/>
          <w:szCs w:val="24"/>
          <w:lang w:eastAsia="zh-CN"/>
        </w:rPr>
        <w:t>价格执行，</w:t>
      </w:r>
      <w:r>
        <w:rPr>
          <w:rFonts w:hint="eastAsia" w:ascii="仿宋_GB2312" w:hAnsi="仿宋_GB2312" w:eastAsia="仿宋_GB2312" w:cs="仿宋_GB2312"/>
          <w:sz w:val="24"/>
          <w:szCs w:val="24"/>
          <w:lang w:val="en-US" w:eastAsia="zh-CN"/>
        </w:rPr>
        <w:t>医院</w:t>
      </w:r>
      <w:r>
        <w:rPr>
          <w:rFonts w:hint="eastAsia" w:ascii="仿宋_GB2312" w:hAnsi="仿宋_GB2312" w:eastAsia="仿宋_GB2312" w:cs="仿宋_GB2312"/>
          <w:sz w:val="24"/>
          <w:szCs w:val="24"/>
          <w:lang w:eastAsia="zh-CN"/>
        </w:rPr>
        <w:t>不作调整。</w:t>
      </w:r>
    </w:p>
    <w:p w14:paraId="6AD29DD8">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支持到付或先付方式。无论选择何种方式，相关费用均直接由患者支付至第三方邮寄公司账户，全程不流经医院财务系统。</w:t>
      </w:r>
    </w:p>
    <w:p w14:paraId="0F662536">
      <w:pPr>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br w:type="page"/>
      </w:r>
    </w:p>
    <w:p w14:paraId="5895E1EE">
      <w:pPr>
        <w:spacing w:line="440" w:lineRule="exact"/>
        <w:jc w:val="both"/>
        <w:rPr>
          <w:rFonts w:hint="default"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附件一：药品快递配送到家服务报价表</w:t>
      </w:r>
    </w:p>
    <w:tbl>
      <w:tblPr>
        <w:tblStyle w:val="6"/>
        <w:tblW w:w="101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5292"/>
        <w:gridCol w:w="1569"/>
        <w:gridCol w:w="1319"/>
        <w:gridCol w:w="1319"/>
      </w:tblGrid>
      <w:tr w14:paraId="13E7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25" w:type="dxa"/>
            <w:vAlign w:val="center"/>
          </w:tcPr>
          <w:p w14:paraId="17F6977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序号</w:t>
            </w:r>
          </w:p>
        </w:tc>
        <w:tc>
          <w:tcPr>
            <w:tcW w:w="5292" w:type="dxa"/>
            <w:vAlign w:val="center"/>
          </w:tcPr>
          <w:p w14:paraId="6CE921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目的地</w:t>
            </w:r>
          </w:p>
        </w:tc>
        <w:tc>
          <w:tcPr>
            <w:tcW w:w="1569" w:type="dxa"/>
            <w:vAlign w:val="center"/>
          </w:tcPr>
          <w:p w14:paraId="2E25B90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首重1kg（元）</w:t>
            </w:r>
          </w:p>
        </w:tc>
        <w:tc>
          <w:tcPr>
            <w:tcW w:w="1319" w:type="dxa"/>
            <w:vAlign w:val="center"/>
          </w:tcPr>
          <w:p w14:paraId="09CF27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续重（元/kg）</w:t>
            </w:r>
          </w:p>
        </w:tc>
        <w:tc>
          <w:tcPr>
            <w:tcW w:w="1319" w:type="dxa"/>
            <w:vAlign w:val="center"/>
          </w:tcPr>
          <w:p w14:paraId="45021B8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寄送时效</w:t>
            </w:r>
          </w:p>
        </w:tc>
      </w:tr>
      <w:tr w14:paraId="0352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3EC75A51">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w:t>
            </w:r>
          </w:p>
        </w:tc>
        <w:tc>
          <w:tcPr>
            <w:tcW w:w="5292" w:type="dxa"/>
            <w:vAlign w:val="center"/>
          </w:tcPr>
          <w:p w14:paraId="6937DEAB">
            <w:pPr>
              <w:keepNext/>
              <w:snapToGrid w:val="0"/>
              <w:spacing w:line="360" w:lineRule="auto"/>
              <w:ind w:left="0" w:leftChars="0" w:right="0" w:rightChars="0" w:firstLine="0" w:firstLineChars="0"/>
              <w:jc w:val="left"/>
              <w:rPr>
                <w:rFonts w:hint="eastAsia" w:ascii="宋体" w:hAnsi="Times New Roman" w:eastAsia="宋体" w:cs="Times New Roman"/>
                <w:kern w:val="0"/>
                <w:sz w:val="21"/>
                <w:szCs w:val="21"/>
                <w:lang w:val="en-US" w:eastAsia="zh-CN"/>
              </w:rPr>
            </w:pPr>
            <w:r>
              <w:rPr>
                <w:rFonts w:hint="eastAsia" w:ascii="宋体" w:hAnsi="Times New Roman" w:eastAsia="宋体" w:cs="Times New Roman"/>
                <w:kern w:val="0"/>
                <w:sz w:val="21"/>
                <w:szCs w:val="21"/>
                <w:lang w:val="en-US" w:eastAsia="zh-CN"/>
              </w:rPr>
              <w:t>南宁市（含武鸣区）</w:t>
            </w:r>
          </w:p>
        </w:tc>
        <w:tc>
          <w:tcPr>
            <w:tcW w:w="1569" w:type="dxa"/>
            <w:vAlign w:val="center"/>
          </w:tcPr>
          <w:p w14:paraId="579D84AB">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76849A32">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restart"/>
            <w:vAlign w:val="center"/>
          </w:tcPr>
          <w:p w14:paraId="317EEE31">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r>
              <w:rPr>
                <w:rFonts w:hint="eastAsia" w:ascii="宋体" w:hAnsi="宋体" w:eastAsia="宋体" w:cs="宋体"/>
                <w:bCs/>
                <w:color w:val="auto"/>
                <w:kern w:val="0"/>
                <w:sz w:val="22"/>
                <w:szCs w:val="22"/>
                <w:lang w:val="en-US" w:eastAsia="zh-CN"/>
              </w:rPr>
              <w:t>详见采购需求</w:t>
            </w:r>
          </w:p>
        </w:tc>
      </w:tr>
      <w:tr w14:paraId="7EF9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284CAF9B">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w:t>
            </w:r>
          </w:p>
        </w:tc>
        <w:tc>
          <w:tcPr>
            <w:tcW w:w="5292" w:type="dxa"/>
            <w:vAlign w:val="center"/>
          </w:tcPr>
          <w:p w14:paraId="41957706">
            <w:pPr>
              <w:keepNext/>
              <w:snapToGrid w:val="0"/>
              <w:spacing w:line="360" w:lineRule="auto"/>
              <w:ind w:left="0" w:leftChars="0" w:right="0" w:rightChars="0" w:firstLine="0" w:firstLineChars="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广西（除南宁市）</w:t>
            </w:r>
          </w:p>
        </w:tc>
        <w:tc>
          <w:tcPr>
            <w:tcW w:w="1569" w:type="dxa"/>
            <w:vAlign w:val="center"/>
          </w:tcPr>
          <w:p w14:paraId="29271892">
            <w:pPr>
              <w:keepNext/>
              <w:snapToGrid w:val="0"/>
              <w:spacing w:line="360" w:lineRule="auto"/>
              <w:ind w:left="0" w:leftChars="0" w:right="0" w:rightChars="0" w:firstLine="0" w:firstLineChars="0"/>
              <w:jc w:val="center"/>
              <w:rPr>
                <w:rFonts w:hint="eastAsia" w:ascii="宋体" w:hAnsi="宋体" w:eastAsia="宋体" w:cs="宋体"/>
                <w:color w:val="auto"/>
                <w:kern w:val="0"/>
                <w:sz w:val="22"/>
                <w:szCs w:val="22"/>
                <w:lang w:val="en-US" w:eastAsia="zh-CN"/>
              </w:rPr>
            </w:pPr>
          </w:p>
        </w:tc>
        <w:tc>
          <w:tcPr>
            <w:tcW w:w="1319" w:type="dxa"/>
            <w:vAlign w:val="center"/>
          </w:tcPr>
          <w:p w14:paraId="09E31337">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c>
          <w:tcPr>
            <w:tcW w:w="1319" w:type="dxa"/>
            <w:vMerge w:val="continue"/>
            <w:vAlign w:val="center"/>
          </w:tcPr>
          <w:p w14:paraId="26E80D74">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1642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759844AB">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w:t>
            </w:r>
          </w:p>
        </w:tc>
        <w:tc>
          <w:tcPr>
            <w:tcW w:w="5292" w:type="dxa"/>
            <w:vAlign w:val="center"/>
          </w:tcPr>
          <w:p w14:paraId="11BF6B2D">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广东</w:t>
            </w:r>
          </w:p>
        </w:tc>
        <w:tc>
          <w:tcPr>
            <w:tcW w:w="1569" w:type="dxa"/>
            <w:vAlign w:val="center"/>
          </w:tcPr>
          <w:p w14:paraId="2381D3E4">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rPr>
            </w:pPr>
          </w:p>
        </w:tc>
        <w:tc>
          <w:tcPr>
            <w:tcW w:w="1319" w:type="dxa"/>
            <w:vAlign w:val="center"/>
          </w:tcPr>
          <w:p w14:paraId="5E8E3E27">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44BF05C2">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0D54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6AEFAE58">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p>
        </w:tc>
        <w:tc>
          <w:tcPr>
            <w:tcW w:w="5292" w:type="dxa"/>
            <w:vAlign w:val="center"/>
          </w:tcPr>
          <w:p w14:paraId="73C23075">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福建、湖南、海南、重庆、贵州</w:t>
            </w:r>
          </w:p>
        </w:tc>
        <w:tc>
          <w:tcPr>
            <w:tcW w:w="1569" w:type="dxa"/>
            <w:vAlign w:val="center"/>
          </w:tcPr>
          <w:p w14:paraId="1E9D95D9">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6F125DA9">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60F55672">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3941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18B34E85">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w:t>
            </w:r>
          </w:p>
        </w:tc>
        <w:tc>
          <w:tcPr>
            <w:tcW w:w="5292" w:type="dxa"/>
            <w:vAlign w:val="center"/>
          </w:tcPr>
          <w:p w14:paraId="3A00B780">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四川、云南</w:t>
            </w:r>
          </w:p>
        </w:tc>
        <w:tc>
          <w:tcPr>
            <w:tcW w:w="1569" w:type="dxa"/>
            <w:vAlign w:val="center"/>
          </w:tcPr>
          <w:p w14:paraId="30CAD2B2">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5A15A356">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759C3474">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79CE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1CFA247E">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w:t>
            </w:r>
          </w:p>
        </w:tc>
        <w:tc>
          <w:tcPr>
            <w:tcW w:w="5292" w:type="dxa"/>
            <w:vAlign w:val="center"/>
          </w:tcPr>
          <w:p w14:paraId="4027208B">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北京、天津、上海、江苏、浙江、山西、安徽、江西、河南、湖北、陕西</w:t>
            </w:r>
          </w:p>
        </w:tc>
        <w:tc>
          <w:tcPr>
            <w:tcW w:w="1569" w:type="dxa"/>
            <w:vAlign w:val="center"/>
          </w:tcPr>
          <w:p w14:paraId="44287042">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52D3A1DF">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6AA03464">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4013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7E0B9BFC">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w:t>
            </w:r>
          </w:p>
        </w:tc>
        <w:tc>
          <w:tcPr>
            <w:tcW w:w="5292" w:type="dxa"/>
            <w:vAlign w:val="center"/>
          </w:tcPr>
          <w:p w14:paraId="2AD844C2">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河北、辽宁、山东</w:t>
            </w:r>
          </w:p>
        </w:tc>
        <w:tc>
          <w:tcPr>
            <w:tcW w:w="1569" w:type="dxa"/>
            <w:vAlign w:val="center"/>
          </w:tcPr>
          <w:p w14:paraId="6C203312">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7144537A">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647D5747">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35D7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02C60E83">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8</w:t>
            </w:r>
          </w:p>
        </w:tc>
        <w:tc>
          <w:tcPr>
            <w:tcW w:w="5292" w:type="dxa"/>
            <w:vAlign w:val="center"/>
          </w:tcPr>
          <w:p w14:paraId="04064468">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内蒙古、甘肃、青海、宁夏</w:t>
            </w:r>
          </w:p>
        </w:tc>
        <w:tc>
          <w:tcPr>
            <w:tcW w:w="1569" w:type="dxa"/>
            <w:vAlign w:val="center"/>
          </w:tcPr>
          <w:p w14:paraId="4343384E">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0FDC0D33">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1960F2EC">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1D60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7AF7FC26">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9</w:t>
            </w:r>
          </w:p>
        </w:tc>
        <w:tc>
          <w:tcPr>
            <w:tcW w:w="5292" w:type="dxa"/>
            <w:vAlign w:val="center"/>
          </w:tcPr>
          <w:p w14:paraId="707C75DD">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吉林、黑龙江</w:t>
            </w:r>
          </w:p>
        </w:tc>
        <w:tc>
          <w:tcPr>
            <w:tcW w:w="1569" w:type="dxa"/>
            <w:vAlign w:val="center"/>
          </w:tcPr>
          <w:p w14:paraId="7C1D6D40">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7F8A6743">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070C1784">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6ACF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50F596EE">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10</w:t>
            </w:r>
          </w:p>
        </w:tc>
        <w:tc>
          <w:tcPr>
            <w:tcW w:w="5292" w:type="dxa"/>
            <w:vAlign w:val="center"/>
          </w:tcPr>
          <w:p w14:paraId="0CA3158A">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西藏</w:t>
            </w:r>
          </w:p>
        </w:tc>
        <w:tc>
          <w:tcPr>
            <w:tcW w:w="1569" w:type="dxa"/>
            <w:vAlign w:val="center"/>
          </w:tcPr>
          <w:p w14:paraId="3DE61223">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248425AE">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446007BA">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r w14:paraId="11BD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5" w:type="dxa"/>
            <w:vAlign w:val="center"/>
          </w:tcPr>
          <w:p w14:paraId="4E7AABDF">
            <w:pPr>
              <w:keepNext/>
              <w:snapToGrid w:val="0"/>
              <w:spacing w:line="360" w:lineRule="auto"/>
              <w:ind w:left="0" w:leftChars="0" w:right="0" w:rightChars="0" w:firstLine="0" w:firstLineChars="0"/>
              <w:jc w:val="center"/>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5292" w:type="dxa"/>
            <w:vAlign w:val="center"/>
          </w:tcPr>
          <w:p w14:paraId="641731F0">
            <w:pPr>
              <w:keepNext/>
              <w:snapToGrid w:val="0"/>
              <w:spacing w:line="360" w:lineRule="auto"/>
              <w:ind w:left="0" w:leftChars="0" w:right="0" w:rightChars="0" w:firstLine="0" w:firstLineChars="0"/>
              <w:jc w:val="left"/>
              <w:rPr>
                <w:rFonts w:hint="eastAsia" w:ascii="宋体" w:hAnsi="Times New Roman" w:eastAsia="宋体" w:cs="Times New Roman"/>
                <w:color w:val="000000"/>
                <w:kern w:val="0"/>
                <w:sz w:val="21"/>
                <w:szCs w:val="21"/>
              </w:rPr>
            </w:pPr>
            <w:r>
              <w:rPr>
                <w:rFonts w:hint="eastAsia" w:ascii="宋体" w:hAnsi="宋体" w:eastAsia="宋体" w:cs="宋体"/>
                <w:kern w:val="0"/>
                <w:sz w:val="21"/>
                <w:szCs w:val="21"/>
                <w:lang w:val="en-US" w:eastAsia="zh-CN"/>
              </w:rPr>
              <w:t>新疆</w:t>
            </w:r>
          </w:p>
        </w:tc>
        <w:tc>
          <w:tcPr>
            <w:tcW w:w="1569" w:type="dxa"/>
            <w:vAlign w:val="center"/>
          </w:tcPr>
          <w:p w14:paraId="33F2975D">
            <w:pPr>
              <w:keepNext/>
              <w:snapToGrid w:val="0"/>
              <w:spacing w:line="360" w:lineRule="auto"/>
              <w:ind w:left="0" w:leftChars="0" w:right="0" w:rightChars="0" w:firstLine="0" w:firstLineChars="0"/>
              <w:jc w:val="center"/>
              <w:rPr>
                <w:rFonts w:hint="default" w:ascii="宋体" w:hAnsi="宋体" w:eastAsia="宋体" w:cs="宋体"/>
                <w:color w:val="auto"/>
                <w:kern w:val="0"/>
                <w:sz w:val="22"/>
                <w:szCs w:val="22"/>
                <w:lang w:val="en-US" w:eastAsia="zh-CN"/>
              </w:rPr>
            </w:pPr>
          </w:p>
        </w:tc>
        <w:tc>
          <w:tcPr>
            <w:tcW w:w="1319" w:type="dxa"/>
            <w:vAlign w:val="center"/>
          </w:tcPr>
          <w:p w14:paraId="71293072">
            <w:pPr>
              <w:keepNext/>
              <w:snapToGrid w:val="0"/>
              <w:spacing w:line="360" w:lineRule="auto"/>
              <w:ind w:left="0" w:leftChars="0" w:right="0" w:rightChars="0" w:firstLine="0" w:firstLineChars="0"/>
              <w:jc w:val="center"/>
              <w:rPr>
                <w:rFonts w:hint="default" w:ascii="宋体" w:hAnsi="宋体" w:eastAsia="宋体" w:cs="宋体"/>
                <w:bCs/>
                <w:color w:val="auto"/>
                <w:kern w:val="0"/>
                <w:sz w:val="22"/>
                <w:szCs w:val="22"/>
                <w:lang w:val="en-US" w:eastAsia="zh-CN"/>
              </w:rPr>
            </w:pPr>
          </w:p>
        </w:tc>
        <w:tc>
          <w:tcPr>
            <w:tcW w:w="1319" w:type="dxa"/>
            <w:vMerge w:val="continue"/>
            <w:vAlign w:val="center"/>
          </w:tcPr>
          <w:p w14:paraId="2878D7B5">
            <w:pPr>
              <w:keepNext/>
              <w:snapToGrid w:val="0"/>
              <w:spacing w:line="360" w:lineRule="auto"/>
              <w:ind w:left="0" w:leftChars="0" w:right="0" w:rightChars="0" w:firstLine="0" w:firstLineChars="0"/>
              <w:jc w:val="center"/>
              <w:rPr>
                <w:rFonts w:hint="eastAsia" w:ascii="宋体" w:hAnsi="宋体" w:eastAsia="宋体" w:cs="宋体"/>
                <w:bCs/>
                <w:color w:val="auto"/>
                <w:kern w:val="0"/>
                <w:sz w:val="22"/>
                <w:szCs w:val="22"/>
                <w:lang w:val="en-US" w:eastAsia="zh-CN"/>
              </w:rPr>
            </w:pPr>
          </w:p>
        </w:tc>
      </w:tr>
    </w:tbl>
    <w:p w14:paraId="063C9796">
      <w:pPr>
        <w:pStyle w:val="4"/>
        <w:rPr>
          <w:rFonts w:hint="default" w:ascii="宋体" w:hAnsi="宋体" w:eastAsia="宋体" w:cs="宋体"/>
          <w:sz w:val="24"/>
          <w:szCs w:val="24"/>
          <w:lang w:val="en-US" w:eastAsia="zh-CN"/>
        </w:rPr>
      </w:pPr>
      <w:r>
        <w:rPr>
          <w:rFonts w:hint="eastAsia"/>
          <w:lang w:val="en-US" w:eastAsia="zh-CN"/>
        </w:rPr>
        <w:t>备注：横州市、宾阳县、上林县</w:t>
      </w:r>
      <w:r>
        <w:rPr>
          <w:rFonts w:ascii="宋体" w:hAnsi="宋体" w:eastAsia="宋体" w:cs="宋体"/>
          <w:sz w:val="24"/>
          <w:szCs w:val="24"/>
        </w:rPr>
        <w:t>、马山县、隆安县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按各公司收费标准填报价格在相应序号内。</w:t>
      </w:r>
    </w:p>
    <w:p w14:paraId="6DCEC258">
      <w:pPr>
        <w:rPr>
          <w:rFonts w:hint="default" w:eastAsiaTheme="minorEastAsia"/>
          <w:lang w:val="en-US" w:eastAsia="zh-CN"/>
        </w:rPr>
      </w:pPr>
    </w:p>
    <w:p w14:paraId="0F0CCF43">
      <w:pPr>
        <w:spacing w:line="440" w:lineRule="exact"/>
        <w:jc w:val="both"/>
        <w:rPr>
          <w:rFonts w:hint="default"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附件二：附加费用报价表</w:t>
      </w:r>
    </w:p>
    <w:tbl>
      <w:tblPr>
        <w:tblStyle w:val="5"/>
        <w:tblW w:w="103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2"/>
        <w:gridCol w:w="2432"/>
        <w:gridCol w:w="2416"/>
        <w:gridCol w:w="972"/>
        <w:gridCol w:w="3811"/>
      </w:tblGrid>
      <w:tr w14:paraId="2E60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blHeader/>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85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59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附加费项目</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1B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计费单位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1A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报价</w:t>
            </w: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EC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备注</w:t>
            </w:r>
          </w:p>
        </w:tc>
      </w:tr>
      <w:tr w14:paraId="10A49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6D34">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28E6">
            <w:pPr>
              <w:keepNext/>
              <w:snapToGrid w:val="0"/>
              <w:spacing w:line="360" w:lineRule="auto"/>
              <w:ind w:left="0" w:leftChars="0" w:right="0" w:rightChars="0" w:firstLine="0" w:firstLineChars="0"/>
              <w:jc w:val="left"/>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保价费</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3C07">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按声明价值比例（‰）</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0AF7">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ACAE">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如声明价值1000元，收费__元</w:t>
            </w:r>
          </w:p>
        </w:tc>
      </w:tr>
      <w:tr w14:paraId="1F1E6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03DC">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193E">
            <w:pPr>
              <w:keepNext/>
              <w:snapToGrid w:val="0"/>
              <w:spacing w:line="360" w:lineRule="auto"/>
              <w:ind w:left="0" w:leftChars="0" w:right="0" w:rightChars="0" w:firstLine="0" w:firstLineChars="0"/>
              <w:jc w:val="left"/>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冷链包装耗材费</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5196">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元/单</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9710">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32D9">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含保温箱、冰袋、温度记录仪</w:t>
            </w:r>
          </w:p>
        </w:tc>
      </w:tr>
      <w:tr w14:paraId="274E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EB4C">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799E">
            <w:pPr>
              <w:keepNext/>
              <w:snapToGrid w:val="0"/>
              <w:spacing w:line="360" w:lineRule="auto"/>
              <w:ind w:left="0" w:leftChars="0" w:right="0" w:rightChars="0" w:firstLine="0" w:firstLineChars="0"/>
              <w:jc w:val="left"/>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偏远地区附加费</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7694">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元/单</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4A11">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7385">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超出常规配送范围的县域/乡镇</w:t>
            </w:r>
          </w:p>
        </w:tc>
      </w:tr>
      <w:tr w14:paraId="748DD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DD0B">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0611">
            <w:pPr>
              <w:keepNext/>
              <w:snapToGrid w:val="0"/>
              <w:spacing w:line="360" w:lineRule="auto"/>
              <w:ind w:left="0" w:leftChars="0" w:right="0" w:rightChars="0" w:firstLine="0" w:firstLineChars="0"/>
              <w:jc w:val="left"/>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超区服务费</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D754">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元/单</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E24D">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10D7">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超出快递网点覆盖范围仍派送</w:t>
            </w:r>
          </w:p>
        </w:tc>
      </w:tr>
      <w:tr w14:paraId="6DFA7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41F5">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D95B">
            <w:pPr>
              <w:keepNext/>
              <w:snapToGrid w:val="0"/>
              <w:spacing w:line="360" w:lineRule="auto"/>
              <w:ind w:left="0" w:leftChars="0" w:right="0" w:rightChars="0" w:firstLine="0" w:firstLineChars="0"/>
              <w:jc w:val="left"/>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其他附加费用（请列明）</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7548">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B451">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p>
        </w:tc>
        <w:tc>
          <w:tcPr>
            <w:tcW w:w="3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1CE2">
            <w:pPr>
              <w:keepNext/>
              <w:snapToGrid w:val="0"/>
              <w:spacing w:line="360" w:lineRule="auto"/>
              <w:ind w:left="0" w:leftChars="0" w:right="0" w:rightChars="0" w:firstLine="0" w:firstLineChars="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如有其他收费请逐项列明</w:t>
            </w:r>
          </w:p>
        </w:tc>
      </w:tr>
    </w:tbl>
    <w:p w14:paraId="582C0669">
      <w:pPr>
        <w:rPr>
          <w:rFonts w:hint="default" w:eastAsiaTheme="minorEastAsia"/>
          <w:lang w:val="en-US" w:eastAsia="zh-CN"/>
        </w:rPr>
      </w:pPr>
      <w:r>
        <w:rPr>
          <w:rFonts w:hint="default" w:eastAsiaTheme="minorEastAsia"/>
          <w:lang w:val="en-US" w:eastAsia="zh-CN"/>
        </w:rPr>
        <w:br w:type="page"/>
      </w:r>
    </w:p>
    <w:p w14:paraId="34030026">
      <w:pPr>
        <w:jc w:val="center"/>
        <w:rPr>
          <w:rFonts w:hint="default" w:ascii="方正公文小标宋" w:hAnsi="方正公文小标宋" w:eastAsia="方正公文小标宋" w:cs="方正公文小标宋"/>
          <w:sz w:val="40"/>
          <w:szCs w:val="40"/>
          <w:lang w:val="en-US" w:eastAsia="zh-CN"/>
        </w:rPr>
      </w:pPr>
      <w:r>
        <w:rPr>
          <w:rFonts w:hint="default" w:ascii="方正公文小标宋" w:hAnsi="方正公文小标宋" w:eastAsia="方正公文小标宋" w:cs="方正公文小标宋"/>
          <w:sz w:val="40"/>
          <w:szCs w:val="40"/>
          <w:lang w:val="en-US" w:eastAsia="zh-CN"/>
        </w:rPr>
        <w:t>中山大学附属第一医院广西医院药品快递配送到家服务项目评分标准</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9"/>
        <w:gridCol w:w="842"/>
        <w:gridCol w:w="934"/>
        <w:gridCol w:w="5519"/>
        <w:gridCol w:w="515"/>
      </w:tblGrid>
      <w:tr w14:paraId="6C12B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295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评分项</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44E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分值</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F0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评分标准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3C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得分</w:t>
            </w:r>
          </w:p>
        </w:tc>
      </w:tr>
      <w:tr w14:paraId="00B8C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416" w:type="pct"/>
            <w:vMerge w:val="restart"/>
            <w:tcBorders>
              <w:top w:val="nil"/>
              <w:left w:val="single" w:color="000000" w:sz="4" w:space="0"/>
              <w:bottom w:val="single" w:color="000000" w:sz="4" w:space="0"/>
              <w:right w:val="single" w:color="000000" w:sz="4" w:space="0"/>
            </w:tcBorders>
            <w:shd w:val="clear" w:color="auto" w:fill="auto"/>
            <w:vAlign w:val="center"/>
          </w:tcPr>
          <w:p w14:paraId="3269AD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价格评审</w:t>
            </w:r>
          </w:p>
        </w:tc>
        <w:tc>
          <w:tcPr>
            <w:tcW w:w="494" w:type="pct"/>
            <w:tcBorders>
              <w:top w:val="nil"/>
              <w:left w:val="single" w:color="000000" w:sz="4" w:space="0"/>
              <w:bottom w:val="single" w:color="000000" w:sz="4" w:space="0"/>
              <w:right w:val="single" w:color="000000" w:sz="4" w:space="0"/>
            </w:tcBorders>
            <w:shd w:val="clear" w:color="auto" w:fill="auto"/>
            <w:vAlign w:val="center"/>
          </w:tcPr>
          <w:p w14:paraId="09CEB6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配送服务报价</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F8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038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按附件1供应商所报的单价，首重1kg（元）+续重（元/kg）=序号1的价格</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（1）供应商所报的（序号1+序号2）最低价为基准价（此项满分为20分）：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供应商（序号1+序号2）所得分=(基准价／有效报价)×20；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（2）供应商所报的（序号3+序号4+序号5+序号6+序号7+序号8+序号9+序号10+序号11）最低价为基准价（此项满分为10分）：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供应商（序号3+序号4+序号5+序号6+序号7+序号8+序号9+序号10+序号11）所得分=(基准价／有效报价)×10；</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326F">
            <w:pPr>
              <w:jc w:val="center"/>
              <w:rPr>
                <w:rFonts w:hint="eastAsia" w:ascii="宋体" w:hAnsi="宋体" w:eastAsia="宋体" w:cs="宋体"/>
                <w:i w:val="0"/>
                <w:iCs w:val="0"/>
                <w:color w:val="auto"/>
                <w:sz w:val="22"/>
                <w:szCs w:val="22"/>
                <w:u w:val="none"/>
              </w:rPr>
            </w:pPr>
          </w:p>
        </w:tc>
      </w:tr>
      <w:tr w14:paraId="6334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0" w:hRule="atLeast"/>
        </w:trPr>
        <w:tc>
          <w:tcPr>
            <w:tcW w:w="416" w:type="pct"/>
            <w:vMerge w:val="continue"/>
            <w:tcBorders>
              <w:top w:val="nil"/>
              <w:left w:val="single" w:color="000000" w:sz="4" w:space="0"/>
              <w:bottom w:val="single" w:color="auto" w:sz="4" w:space="0"/>
              <w:right w:val="single" w:color="000000" w:sz="4" w:space="0"/>
            </w:tcBorders>
            <w:shd w:val="clear" w:color="auto" w:fill="auto"/>
            <w:vAlign w:val="center"/>
          </w:tcPr>
          <w:p w14:paraId="1A073835">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auto" w:sz="4" w:space="0"/>
              <w:right w:val="single" w:color="000000" w:sz="4" w:space="0"/>
            </w:tcBorders>
            <w:shd w:val="clear" w:color="auto" w:fill="auto"/>
            <w:vAlign w:val="center"/>
          </w:tcPr>
          <w:p w14:paraId="762437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附加费用标准</w:t>
            </w:r>
          </w:p>
        </w:tc>
        <w:tc>
          <w:tcPr>
            <w:tcW w:w="548" w:type="pct"/>
            <w:tcBorders>
              <w:top w:val="single" w:color="000000" w:sz="4" w:space="0"/>
              <w:left w:val="single" w:color="000000" w:sz="4" w:space="0"/>
              <w:bottom w:val="single" w:color="auto" w:sz="4" w:space="0"/>
              <w:right w:val="single" w:color="000000" w:sz="4" w:space="0"/>
            </w:tcBorders>
            <w:shd w:val="clear" w:color="auto" w:fill="auto"/>
            <w:vAlign w:val="center"/>
          </w:tcPr>
          <w:p w14:paraId="5F753E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208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按附件2附加费用：①保价费费率、②冷链包装耗材费（元/单）、③偏远地区附加费（元/单）、④超区服务费（元/单）、⑤其他杂费。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①保价费费率（此项满分1分）：</w:t>
            </w:r>
          </w:p>
          <w:p w14:paraId="6831C57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一档（0.2分）6%-8%以上或未明确；</w:t>
            </w:r>
          </w:p>
          <w:p w14:paraId="5A84D19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二档（0.5分）≤4%-5%；</w:t>
            </w:r>
          </w:p>
          <w:p w14:paraId="54135C2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三档（1分）≤3%。</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②冷链包装耗材费（元/单）（此项满分1分）:</w:t>
            </w:r>
          </w:p>
          <w:p w14:paraId="543BAF1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一档（0.2分）21-30元以上或未明确；</w:t>
            </w:r>
          </w:p>
          <w:p w14:paraId="3DE635F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二档（0.5分）11-20元；</w:t>
            </w:r>
          </w:p>
          <w:p w14:paraId="3C0AE3A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三档（1分）≤10元。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③偏远地区附加费（元/单）（此项满分1分）：</w:t>
            </w:r>
          </w:p>
          <w:p w14:paraId="70027E3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一档（0.2分）16-20元以上或未明确；</w:t>
            </w:r>
          </w:p>
          <w:p w14:paraId="0940756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二档（0.5分）6-15元；</w:t>
            </w:r>
          </w:p>
          <w:p w14:paraId="52FBABB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三档（1分）≤5元。</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④超区服务费（元/单）（此项满分1分）：</w:t>
            </w:r>
          </w:p>
          <w:p w14:paraId="7485F54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一档（0.2分）6-15元以上或未明确；</w:t>
            </w:r>
          </w:p>
          <w:p w14:paraId="01574A0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二档（0.5分）≤5元；</w:t>
            </w:r>
          </w:p>
          <w:p w14:paraId="3489BE9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三档（1分）不收取。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⑤其他杂费（此项满分1分）：</w:t>
            </w:r>
          </w:p>
          <w:p w14:paraId="633C75E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一档（0.2分）3-5项以上；</w:t>
            </w:r>
          </w:p>
          <w:p w14:paraId="15EBEA6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二档（0.5分）1-2项；</w:t>
            </w:r>
          </w:p>
          <w:p w14:paraId="561C041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三档（1分）不收取。</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FC6B4">
            <w:pPr>
              <w:jc w:val="center"/>
              <w:rPr>
                <w:rFonts w:hint="eastAsia" w:ascii="宋体" w:hAnsi="宋体" w:eastAsia="宋体" w:cs="宋体"/>
                <w:i w:val="0"/>
                <w:iCs w:val="0"/>
                <w:color w:val="auto"/>
                <w:sz w:val="22"/>
                <w:szCs w:val="22"/>
                <w:u w:val="none"/>
              </w:rPr>
            </w:pPr>
          </w:p>
        </w:tc>
      </w:tr>
      <w:tr w14:paraId="380D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416" w:type="pct"/>
            <w:vMerge w:val="restart"/>
            <w:tcBorders>
              <w:top w:val="single" w:color="auto" w:sz="4" w:space="0"/>
              <w:left w:val="single" w:color="auto" w:sz="4" w:space="0"/>
              <w:bottom w:val="nil"/>
              <w:right w:val="single" w:color="000000" w:sz="4" w:space="0"/>
            </w:tcBorders>
            <w:shd w:val="clear" w:color="auto" w:fill="auto"/>
            <w:vAlign w:val="center"/>
          </w:tcPr>
          <w:p w14:paraId="71B03E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技术要求</w:t>
            </w:r>
          </w:p>
        </w:tc>
        <w:tc>
          <w:tcPr>
            <w:tcW w:w="494" w:type="pct"/>
            <w:tcBorders>
              <w:top w:val="single" w:color="auto" w:sz="4" w:space="0"/>
              <w:left w:val="single" w:color="000000" w:sz="4" w:space="0"/>
              <w:bottom w:val="single" w:color="000000" w:sz="4" w:space="0"/>
              <w:right w:val="single" w:color="000000" w:sz="4" w:space="0"/>
            </w:tcBorders>
            <w:shd w:val="clear" w:color="auto" w:fill="auto"/>
            <w:vAlign w:val="center"/>
          </w:tcPr>
          <w:p w14:paraId="77F87D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整体项目方案</w:t>
            </w:r>
          </w:p>
        </w:tc>
        <w:tc>
          <w:tcPr>
            <w:tcW w:w="548" w:type="pct"/>
            <w:tcBorders>
              <w:top w:val="single" w:color="auto" w:sz="4" w:space="0"/>
              <w:left w:val="single" w:color="000000" w:sz="4" w:space="0"/>
              <w:bottom w:val="single" w:color="000000" w:sz="4" w:space="0"/>
              <w:right w:val="single" w:color="auto" w:sz="4" w:space="0"/>
            </w:tcBorders>
            <w:shd w:val="clear" w:color="auto" w:fill="auto"/>
            <w:vAlign w:val="center"/>
          </w:tcPr>
          <w:p w14:paraId="496842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20分</w:t>
            </w:r>
          </w:p>
        </w:tc>
        <w:tc>
          <w:tcPr>
            <w:tcW w:w="3238" w:type="pct"/>
            <w:tcBorders>
              <w:top w:val="single" w:color="000000" w:sz="4" w:space="0"/>
              <w:left w:val="single" w:color="auto" w:sz="4" w:space="0"/>
              <w:bottom w:val="single" w:color="000000" w:sz="4" w:space="0"/>
              <w:right w:val="single" w:color="000000" w:sz="4" w:space="0"/>
            </w:tcBorders>
            <w:shd w:val="clear" w:color="auto" w:fill="auto"/>
            <w:vAlign w:val="center"/>
          </w:tcPr>
          <w:p w14:paraId="23447E7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根据供应商提供的整体项目方案进行独立评分，未提供方案的不得分：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方案需要包含：①服务内容、②服务方式、③团队人员、④服务时间、⑤配送流程、⑥用户报告内容及方式等。</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一档（5分）：供应商提供的整体项目方案没有明显错误或无关内容，方案中包含有上述2项内容；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二档（10分）：在满足一档的基础上，供应商提供的整体项目方案中包含上述4项内容且描述详细合理；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三档（20分）：在满足二档的基础上，供应商提供的整体项目方案中包含上述6项内容及各项承诺详细、具体、合理可行，能给采购人提供高质量的服务，完全响应并优于用户需求。</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3444">
            <w:pPr>
              <w:jc w:val="center"/>
              <w:rPr>
                <w:rFonts w:hint="eastAsia" w:ascii="宋体" w:hAnsi="宋体" w:eastAsia="宋体" w:cs="宋体"/>
                <w:i w:val="0"/>
                <w:iCs w:val="0"/>
                <w:color w:val="auto"/>
                <w:sz w:val="22"/>
                <w:szCs w:val="22"/>
                <w:u w:val="none"/>
              </w:rPr>
            </w:pPr>
          </w:p>
        </w:tc>
      </w:tr>
      <w:tr w14:paraId="61312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416" w:type="pct"/>
            <w:vMerge w:val="continue"/>
            <w:tcBorders>
              <w:top w:val="single" w:color="000000" w:sz="4" w:space="0"/>
              <w:left w:val="single" w:color="auto" w:sz="4" w:space="0"/>
              <w:bottom w:val="nil"/>
              <w:right w:val="single" w:color="000000" w:sz="4" w:space="0"/>
            </w:tcBorders>
            <w:shd w:val="clear" w:color="auto" w:fill="auto"/>
            <w:vAlign w:val="center"/>
          </w:tcPr>
          <w:p w14:paraId="67A5AC7F">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F4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服务能力</w:t>
            </w:r>
          </w:p>
        </w:tc>
        <w:tc>
          <w:tcPr>
            <w:tcW w:w="548" w:type="pct"/>
            <w:tcBorders>
              <w:top w:val="single" w:color="000000" w:sz="4" w:space="0"/>
              <w:left w:val="single" w:color="000000" w:sz="4" w:space="0"/>
              <w:bottom w:val="single" w:color="000000" w:sz="4" w:space="0"/>
              <w:right w:val="single" w:color="auto" w:sz="4" w:space="0"/>
            </w:tcBorders>
            <w:shd w:val="clear" w:color="auto" w:fill="auto"/>
            <w:vAlign w:val="center"/>
          </w:tcPr>
          <w:p w14:paraId="0128DD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3分</w:t>
            </w:r>
          </w:p>
        </w:tc>
        <w:tc>
          <w:tcPr>
            <w:tcW w:w="3238" w:type="pct"/>
            <w:tcBorders>
              <w:top w:val="single" w:color="000000" w:sz="4" w:space="0"/>
              <w:left w:val="single" w:color="auto" w:sz="4" w:space="0"/>
              <w:bottom w:val="single" w:color="000000" w:sz="4" w:space="0"/>
              <w:right w:val="single" w:color="000000" w:sz="4" w:space="0"/>
            </w:tcBorders>
            <w:shd w:val="clear" w:color="auto" w:fill="auto"/>
            <w:vAlign w:val="center"/>
          </w:tcPr>
          <w:p w14:paraId="28B4BF9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根据供应商提供的服务能力进行独立评分，</w:t>
            </w:r>
            <w:r>
              <w:rPr>
                <w:rStyle w:val="13"/>
                <w:color w:val="auto"/>
                <w:lang w:val="en-US" w:eastAsia="zh-CN" w:bidi="ar"/>
              </w:rPr>
              <w:t>未提供方案的不得分：</w:t>
            </w:r>
            <w:r>
              <w:rPr>
                <w:rStyle w:val="14"/>
                <w:color w:val="auto"/>
                <w:lang w:val="en-US" w:eastAsia="zh-CN" w:bidi="ar"/>
              </w:rPr>
              <w:br w:type="textWrapping"/>
            </w:r>
            <w:r>
              <w:rPr>
                <w:rStyle w:val="15"/>
                <w:color w:val="auto"/>
                <w:lang w:val="en-US" w:eastAsia="zh-CN" w:bidi="ar"/>
              </w:rPr>
              <w:t>服务能力包含：①快递公司</w:t>
            </w:r>
            <w:r>
              <w:rPr>
                <w:rStyle w:val="15"/>
                <w:rFonts w:hint="eastAsia"/>
                <w:color w:val="auto"/>
                <w:lang w:val="en-US" w:eastAsia="zh-CN" w:bidi="ar"/>
              </w:rPr>
              <w:t>同时</w:t>
            </w:r>
            <w:r>
              <w:rPr>
                <w:rStyle w:val="15"/>
                <w:color w:val="auto"/>
                <w:lang w:val="en-US" w:eastAsia="zh-CN" w:bidi="ar"/>
              </w:rPr>
              <w:t>具有铁路运输及航空运输能力、②配送范围覆盖全国各省、市、县、乡镇（街道）、村（社区）、港澳台、③自办网络覆盖全国各省、市、县、乡镇（街道）、村（社区）、港澳台(需提供响应人官网或邮政管理部门证明材料)等。</w:t>
            </w:r>
            <w:r>
              <w:rPr>
                <w:rStyle w:val="14"/>
                <w:color w:val="auto"/>
                <w:lang w:val="en-US" w:eastAsia="zh-CN" w:bidi="ar"/>
              </w:rPr>
              <w:br w:type="textWrapping"/>
            </w:r>
            <w:r>
              <w:rPr>
                <w:rStyle w:val="14"/>
                <w:color w:val="auto"/>
                <w:lang w:val="en-US" w:eastAsia="zh-CN" w:bidi="ar"/>
              </w:rPr>
              <w:t>一档（1分）：供应商提供的服务能力没有明显错误或无关内容，方案中包含有上述1项内容；</w:t>
            </w:r>
            <w:r>
              <w:rPr>
                <w:rStyle w:val="14"/>
                <w:color w:val="auto"/>
                <w:lang w:val="en-US" w:eastAsia="zh-CN" w:bidi="ar"/>
              </w:rPr>
              <w:br w:type="textWrapping"/>
            </w:r>
            <w:r>
              <w:rPr>
                <w:rStyle w:val="14"/>
                <w:color w:val="auto"/>
                <w:lang w:val="en-US" w:eastAsia="zh-CN" w:bidi="ar"/>
              </w:rPr>
              <w:t xml:space="preserve">二档（2分）：在满足一档的基础上，供应商提供的服务能力中包含上述2项内容且描述详细合理； </w:t>
            </w:r>
            <w:r>
              <w:rPr>
                <w:rStyle w:val="14"/>
                <w:color w:val="auto"/>
                <w:lang w:val="en-US" w:eastAsia="zh-CN" w:bidi="ar"/>
              </w:rPr>
              <w:br w:type="textWrapping"/>
            </w:r>
            <w:r>
              <w:rPr>
                <w:rStyle w:val="14"/>
                <w:color w:val="auto"/>
                <w:lang w:val="en-US" w:eastAsia="zh-CN" w:bidi="ar"/>
              </w:rPr>
              <w:t>三档（3分）：在满足二档的基础上，供应商提供的服务能力中包含上述3项内容且描述详细合理。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5CAD">
            <w:pPr>
              <w:jc w:val="center"/>
              <w:rPr>
                <w:rFonts w:hint="eastAsia" w:ascii="宋体" w:hAnsi="宋体" w:eastAsia="宋体" w:cs="宋体"/>
                <w:i w:val="0"/>
                <w:iCs w:val="0"/>
                <w:color w:val="auto"/>
                <w:sz w:val="22"/>
                <w:szCs w:val="22"/>
                <w:u w:val="none"/>
              </w:rPr>
            </w:pPr>
          </w:p>
        </w:tc>
      </w:tr>
      <w:tr w14:paraId="2B35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416" w:type="pct"/>
            <w:vMerge w:val="continue"/>
            <w:tcBorders>
              <w:top w:val="single" w:color="000000" w:sz="4" w:space="0"/>
              <w:left w:val="single" w:color="auto" w:sz="4" w:space="0"/>
              <w:bottom w:val="single" w:color="auto" w:sz="4" w:space="0"/>
              <w:right w:val="single" w:color="000000" w:sz="4" w:space="0"/>
            </w:tcBorders>
            <w:shd w:val="clear" w:color="auto" w:fill="auto"/>
            <w:vAlign w:val="center"/>
          </w:tcPr>
          <w:p w14:paraId="0D973A13">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auto" w:sz="4" w:space="0"/>
              <w:right w:val="single" w:color="000000" w:sz="4" w:space="0"/>
            </w:tcBorders>
            <w:shd w:val="clear" w:color="auto" w:fill="auto"/>
            <w:vAlign w:val="center"/>
          </w:tcPr>
          <w:p w14:paraId="70096C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系统对接与信息安全</w:t>
            </w:r>
          </w:p>
        </w:tc>
        <w:tc>
          <w:tcPr>
            <w:tcW w:w="548" w:type="pct"/>
            <w:tcBorders>
              <w:top w:val="single" w:color="000000" w:sz="4" w:space="0"/>
              <w:left w:val="single" w:color="000000" w:sz="4" w:space="0"/>
              <w:bottom w:val="single" w:color="auto" w:sz="4" w:space="0"/>
              <w:right w:val="single" w:color="auto" w:sz="4" w:space="0"/>
            </w:tcBorders>
            <w:shd w:val="clear" w:color="auto" w:fill="auto"/>
            <w:vAlign w:val="center"/>
          </w:tcPr>
          <w:p w14:paraId="05B72A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10分</w:t>
            </w:r>
          </w:p>
        </w:tc>
        <w:tc>
          <w:tcPr>
            <w:tcW w:w="3238" w:type="pct"/>
            <w:tcBorders>
              <w:top w:val="single" w:color="000000" w:sz="4" w:space="0"/>
              <w:left w:val="single" w:color="auto" w:sz="4" w:space="0"/>
              <w:bottom w:val="single" w:color="000000" w:sz="4" w:space="0"/>
              <w:right w:val="single" w:color="000000" w:sz="4" w:space="0"/>
            </w:tcBorders>
            <w:shd w:val="clear" w:color="auto" w:fill="auto"/>
            <w:vAlign w:val="center"/>
          </w:tcPr>
          <w:p w14:paraId="3751448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根据供应商提供的针对系统对接与信息安全方案及承诺函（格式自拟，并加盖公章）进行独立评分，未提供方案及承诺函的不得分。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主要包括：①系统对接能力、②信息安全与保密、③应急预案。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一档（3分）：能与医院HIS或互联网医院系统免费对接，实现订单自动导入（包含患者姓名、住址、联系电话、处方信息等）、物流轨迹实时回传、异常件自动预警；</w:t>
            </w:r>
          </w:p>
          <w:p w14:paraId="76942AE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二档（6分）：在满足一档的基础上，</w:t>
            </w:r>
            <w:r>
              <w:rPr>
                <w:rFonts w:hint="eastAsia" w:ascii="宋体" w:hAnsi="宋体" w:eastAsia="宋体" w:cs="宋体"/>
                <w:color w:val="auto"/>
                <w:kern w:val="0"/>
                <w:sz w:val="22"/>
                <w:szCs w:val="22"/>
                <w:u w:val="none"/>
                <w:lang w:bidi="ar"/>
              </w:rPr>
              <w:t>具备完善的患者隐私保护与医疗数据安全管理体系</w:t>
            </w:r>
            <w:r>
              <w:rPr>
                <w:rFonts w:hint="eastAsia" w:ascii="宋体" w:hAnsi="宋体" w:eastAsia="宋体" w:cs="宋体"/>
                <w:i w:val="0"/>
                <w:iCs w:val="0"/>
                <w:color w:val="auto"/>
                <w:kern w:val="0"/>
                <w:sz w:val="22"/>
                <w:szCs w:val="22"/>
                <w:u w:val="none"/>
                <w:lang w:val="en-US" w:eastAsia="zh-CN" w:bidi="ar"/>
              </w:rPr>
              <w:t>；具备数据传输加密、分级权限管理、全流程操作日志留存、数据定期审计等技术保障措施；并承诺禁止处方统方，不得向第三方共享、出售患者个人信息、处方数据。</w:t>
            </w:r>
          </w:p>
          <w:p w14:paraId="1CE9003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三档（10分）：在满足一档、二档的基础上，具备数据安全事件应急处置与追责机制，</w:t>
            </w:r>
            <w:r>
              <w:rPr>
                <w:rFonts w:hint="eastAsia" w:ascii="宋体" w:hAnsi="宋体" w:eastAsia="宋体" w:cs="宋体"/>
                <w:color w:val="auto"/>
                <w:kern w:val="0"/>
                <w:sz w:val="22"/>
                <w:szCs w:val="22"/>
                <w:u w:val="none"/>
                <w:lang w:bidi="ar"/>
              </w:rPr>
              <w:t>明确应急处置流程与响应时限、数据备份与恢复策略</w:t>
            </w:r>
            <w:r>
              <w:rPr>
                <w:rFonts w:hint="eastAsia" w:ascii="宋体" w:hAnsi="宋体" w:eastAsia="宋体" w:cs="宋体"/>
                <w:color w:val="auto"/>
                <w:kern w:val="0"/>
                <w:sz w:val="22"/>
                <w:szCs w:val="22"/>
                <w:u w:val="none"/>
                <w:lang w:eastAsia="zh-CN" w:bidi="ar"/>
              </w:rPr>
              <w:t>，</w:t>
            </w:r>
            <w:r>
              <w:rPr>
                <w:rFonts w:ascii="宋体" w:hAnsi="宋体" w:eastAsia="宋体" w:cs="宋体"/>
                <w:sz w:val="24"/>
                <w:szCs w:val="24"/>
              </w:rPr>
              <w:t>并提供上述内容的完整技术方案。</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21AE">
            <w:pPr>
              <w:jc w:val="center"/>
              <w:rPr>
                <w:rFonts w:hint="eastAsia" w:ascii="宋体" w:hAnsi="宋体" w:eastAsia="宋体" w:cs="宋体"/>
                <w:i w:val="0"/>
                <w:iCs w:val="0"/>
                <w:color w:val="auto"/>
                <w:sz w:val="22"/>
                <w:szCs w:val="22"/>
                <w:u w:val="none"/>
              </w:rPr>
            </w:pPr>
          </w:p>
        </w:tc>
      </w:tr>
      <w:tr w14:paraId="798F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416" w:type="pct"/>
            <w:tcBorders>
              <w:top w:val="single" w:color="auto" w:sz="4" w:space="0"/>
              <w:left w:val="single" w:color="000000" w:sz="4" w:space="0"/>
              <w:bottom w:val="nil"/>
              <w:right w:val="single" w:color="000000" w:sz="4" w:space="0"/>
            </w:tcBorders>
            <w:shd w:val="clear" w:color="auto" w:fill="auto"/>
            <w:vAlign w:val="center"/>
          </w:tcPr>
          <w:p w14:paraId="01A06D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售后</w:t>
            </w:r>
          </w:p>
        </w:tc>
        <w:tc>
          <w:tcPr>
            <w:tcW w:w="494" w:type="pct"/>
            <w:tcBorders>
              <w:top w:val="single" w:color="auto" w:sz="4" w:space="0"/>
              <w:left w:val="single" w:color="000000" w:sz="4" w:space="0"/>
              <w:bottom w:val="single" w:color="000000" w:sz="4" w:space="0"/>
              <w:right w:val="single" w:color="000000" w:sz="4" w:space="0"/>
            </w:tcBorders>
            <w:shd w:val="clear" w:color="auto" w:fill="auto"/>
            <w:vAlign w:val="center"/>
          </w:tcPr>
          <w:p w14:paraId="675D12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质量保障与应急处置</w:t>
            </w:r>
          </w:p>
        </w:tc>
        <w:tc>
          <w:tcPr>
            <w:tcW w:w="548" w:type="pct"/>
            <w:tcBorders>
              <w:top w:val="single" w:color="auto" w:sz="4" w:space="0"/>
              <w:left w:val="single" w:color="000000" w:sz="4" w:space="0"/>
              <w:bottom w:val="single" w:color="000000" w:sz="4" w:space="0"/>
              <w:right w:val="single" w:color="000000" w:sz="4" w:space="0"/>
            </w:tcBorders>
            <w:shd w:val="clear" w:color="auto" w:fill="auto"/>
            <w:vAlign w:val="center"/>
          </w:tcPr>
          <w:p w14:paraId="12BDE1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BC5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根据供应商提供的质量保障与应急预案进行独立评分，未提供的不得分。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内容包括但不限于：①遗失损坏赔偿机制、②异常订单处理能力、③应急保障能力、④退件处理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一档（3分）供应商提供的质量保障与应急预案没有明显错误或无关内容，</w:t>
            </w:r>
            <w:bookmarkStart w:id="0" w:name="_GoBack"/>
            <w:bookmarkEnd w:id="0"/>
            <w:r>
              <w:rPr>
                <w:rFonts w:hint="eastAsia" w:ascii="宋体" w:hAnsi="宋体" w:eastAsia="宋体" w:cs="宋体"/>
                <w:i w:val="0"/>
                <w:iCs w:val="0"/>
                <w:color w:val="auto"/>
                <w:kern w:val="0"/>
                <w:sz w:val="22"/>
                <w:szCs w:val="22"/>
                <w:u w:val="none"/>
                <w:lang w:val="en-US" w:eastAsia="zh-CN" w:bidi="ar"/>
              </w:rPr>
              <w:t>方案中包含有上述2项内容；</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二档（6分）在满足一档的基础上，供应商提供的质量保障与应急预案中包含有上述3项内容且描述详细合理；明确承诺药品损坏（含包装破损、挤压变形、冷链脱冷等）照原价赔偿，且不设赔偿上限得6分；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三档（9分）在满足二档的基础上，供应商提供的质量保障与应急预案中包含有上述4项内容且描述详细合理。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C529">
            <w:pPr>
              <w:jc w:val="center"/>
              <w:rPr>
                <w:rFonts w:hint="eastAsia" w:ascii="宋体" w:hAnsi="宋体" w:eastAsia="宋体" w:cs="宋体"/>
                <w:i w:val="0"/>
                <w:iCs w:val="0"/>
                <w:color w:val="auto"/>
                <w:sz w:val="22"/>
                <w:szCs w:val="22"/>
                <w:u w:val="none"/>
              </w:rPr>
            </w:pPr>
          </w:p>
        </w:tc>
      </w:tr>
      <w:tr w14:paraId="56A85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4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9FB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商务要求</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D8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冷链运输能力</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B93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93A68">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供应商拟投入本项目的配送车辆，每投入一辆冷藏车辆的得1分，满分3分（响应文件中提供相关运输车辆的机动车行驶证复印件及运输车辆照片；供应商自有车辆的，提供车辆行驶证；车辆为租赁的，提供车辆行驶证及车辆租用合同复印件。证明材料需加盖供应商公章，否则不得分）；</w:t>
            </w:r>
          </w:p>
          <w:p w14:paraId="5B0A70EB">
            <w:pPr>
              <w:keepNext w:val="0"/>
              <w:keepLines w:val="0"/>
              <w:widowControl/>
              <w:suppressLineNumbers w:val="0"/>
              <w:jc w:val="left"/>
              <w:textAlignment w:val="center"/>
              <w:rPr>
                <w:rStyle w:val="14"/>
                <w:color w:val="auto"/>
                <w:highlight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r>
              <w:rPr>
                <w:rStyle w:val="15"/>
                <w:color w:val="auto"/>
                <w:highlight w:val="none"/>
                <w:lang w:val="en-US" w:eastAsia="zh-CN" w:bidi="ar"/>
              </w:rPr>
              <w:t>提供冷链验证报告（需提供具有冷链认证资质的第三方机构出具的冷库在有效期内的验证报告或企业自主验证报告复印件，并加盖公章），得3分</w:t>
            </w:r>
            <w:r>
              <w:rPr>
                <w:rStyle w:val="14"/>
                <w:color w:val="auto"/>
                <w:highlight w:val="none"/>
                <w:lang w:val="en-US" w:eastAsia="zh-CN" w:bidi="ar"/>
              </w:rPr>
              <w:t>；</w:t>
            </w:r>
          </w:p>
          <w:p w14:paraId="01E659C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r>
              <w:rPr>
                <w:rStyle w:val="14"/>
                <w:color w:val="auto"/>
                <w:lang w:val="en-US" w:eastAsia="zh-CN" w:bidi="ar"/>
              </w:rPr>
              <w:t>提供温控系统实时监控截图得</w:t>
            </w:r>
            <w:r>
              <w:rPr>
                <w:rStyle w:val="14"/>
                <w:rFonts w:hint="eastAsia"/>
                <w:color w:val="auto"/>
                <w:lang w:val="en-US" w:eastAsia="zh-CN" w:bidi="ar"/>
              </w:rPr>
              <w:t>2</w:t>
            </w:r>
            <w:r>
              <w:rPr>
                <w:rStyle w:val="14"/>
                <w:color w:val="auto"/>
                <w:lang w:val="en-US" w:eastAsia="zh-CN" w:bidi="ar"/>
              </w:rPr>
              <w:t>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9D3E">
            <w:pPr>
              <w:jc w:val="center"/>
              <w:rPr>
                <w:rFonts w:hint="eastAsia" w:ascii="宋体" w:hAnsi="宋体" w:eastAsia="宋体" w:cs="宋体"/>
                <w:i w:val="0"/>
                <w:iCs w:val="0"/>
                <w:color w:val="auto"/>
                <w:sz w:val="22"/>
                <w:szCs w:val="22"/>
                <w:u w:val="none"/>
              </w:rPr>
            </w:pPr>
          </w:p>
        </w:tc>
      </w:tr>
      <w:tr w14:paraId="6D82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3551">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A5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业绩情况</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B08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A4F7">
            <w:pPr>
              <w:keepNext w:val="0"/>
              <w:keepLines w:val="0"/>
              <w:widowControl/>
              <w:suppressLineNumbers w:val="0"/>
              <w:ind w:firstLine="440" w:firstLineChars="200"/>
              <w:jc w:val="left"/>
              <w:textAlignment w:val="center"/>
              <w:rPr>
                <w:rFonts w:hint="default" w:ascii="宋体" w:hAnsi="宋体" w:eastAsia="宋体" w:cs="宋体"/>
                <w:i w:val="0"/>
                <w:iCs w:val="0"/>
                <w:color w:val="auto"/>
                <w:kern w:val="0"/>
                <w:sz w:val="22"/>
                <w:szCs w:val="22"/>
                <w:highlight w:val="yellow"/>
                <w:u w:val="none"/>
                <w:lang w:val="en-US" w:eastAsia="zh-CN" w:bidi="ar"/>
              </w:rPr>
            </w:pPr>
            <w:r>
              <w:rPr>
                <w:rFonts w:hint="eastAsia" w:ascii="宋体" w:hAnsi="宋体" w:eastAsia="宋体" w:cs="宋体"/>
                <w:i w:val="0"/>
                <w:iCs w:val="0"/>
                <w:color w:val="auto"/>
                <w:kern w:val="0"/>
                <w:sz w:val="22"/>
                <w:szCs w:val="22"/>
                <w:u w:val="none"/>
                <w:lang w:val="en-US" w:eastAsia="zh-CN" w:bidi="ar"/>
              </w:rPr>
              <w:t>供应商近三年(2023年1月1日至递交响应文件截止时间)具有同类服务业绩的，每提供一份得2分，最高得10分。</w:t>
            </w:r>
            <w:r>
              <w:rPr>
                <w:rFonts w:hint="eastAsia" w:ascii="宋体" w:hAnsi="宋体" w:eastAsia="宋体" w:cs="宋体"/>
                <w:i w:val="0"/>
                <w:iCs w:val="0"/>
                <w:color w:val="auto"/>
                <w:kern w:val="0"/>
                <w:sz w:val="22"/>
                <w:szCs w:val="22"/>
                <w:highlight w:val="none"/>
                <w:u w:val="none"/>
                <w:lang w:val="en-US" w:eastAsia="zh-CN" w:bidi="ar"/>
              </w:rPr>
              <w:t>（供应商需在响应文件提供合同关键页及中标（成交）通知书复印件并加盖公章作为评审依据，不提供或少提供不得分）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6C70E">
            <w:pPr>
              <w:jc w:val="center"/>
              <w:rPr>
                <w:rFonts w:hint="eastAsia" w:ascii="宋体" w:hAnsi="宋体" w:eastAsia="宋体" w:cs="宋体"/>
                <w:i w:val="0"/>
                <w:iCs w:val="0"/>
                <w:color w:val="auto"/>
                <w:sz w:val="22"/>
                <w:szCs w:val="22"/>
                <w:u w:val="none"/>
              </w:rPr>
            </w:pPr>
          </w:p>
        </w:tc>
      </w:tr>
      <w:tr w14:paraId="31BD2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3"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757D">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279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color w:val="auto"/>
                <w:kern w:val="0"/>
                <w:sz w:val="22"/>
                <w:szCs w:val="22"/>
                <w:u w:val="none"/>
                <w:lang w:bidi="ar"/>
              </w:rPr>
              <w:t>网络安全等级保护</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7A9A">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E3FDF">
            <w:pPr>
              <w:keepNext w:val="0"/>
              <w:keepLines w:val="0"/>
              <w:widowControl/>
              <w:suppressLineNumbers w:val="0"/>
              <w:ind w:firstLine="440" w:firstLineChars="20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提供其有效期内的网络安全等级保护备案证明及最近一年度合格的等级测评报告（信息系统安全等级须达到二级及以上），得2分；未提供不得分。</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090A3">
            <w:pPr>
              <w:keepNext w:val="0"/>
              <w:keepLines w:val="0"/>
              <w:widowControl/>
              <w:suppressLineNumbers w:val="0"/>
              <w:ind w:firstLine="440"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BA7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2"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2C7ED">
            <w:pPr>
              <w:jc w:val="center"/>
              <w:rPr>
                <w:rFonts w:hint="eastAsia" w:ascii="宋体" w:hAnsi="宋体" w:eastAsia="宋体" w:cs="宋体"/>
                <w:i w:val="0"/>
                <w:iCs w:val="0"/>
                <w:color w:val="auto"/>
                <w:sz w:val="22"/>
                <w:szCs w:val="22"/>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0B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管理体系认证</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FB8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C33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供应商提供以下管理体系认证证书，每提供一份得1分，未提供的不得分。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①质量管理体系认证证书（有效期内）、 ②环境管理体系认证证书（有效期内）、③职业健康安全管理体系认证证书（有效期内）。 </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EB9A">
            <w:pPr>
              <w:jc w:val="center"/>
              <w:rPr>
                <w:rFonts w:hint="eastAsia" w:ascii="宋体" w:hAnsi="宋体" w:eastAsia="宋体" w:cs="宋体"/>
                <w:i w:val="0"/>
                <w:iCs w:val="0"/>
                <w:color w:val="auto"/>
                <w:sz w:val="22"/>
                <w:szCs w:val="22"/>
                <w:u w:val="none"/>
              </w:rPr>
            </w:pPr>
          </w:p>
        </w:tc>
      </w:tr>
      <w:tr w14:paraId="56334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0D2ED">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总分</w:t>
            </w:r>
          </w:p>
        </w:tc>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13DA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100分</w:t>
            </w:r>
          </w:p>
        </w:tc>
        <w:tc>
          <w:tcPr>
            <w:tcW w:w="3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7B2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AB2C0">
            <w:pPr>
              <w:jc w:val="center"/>
              <w:rPr>
                <w:rFonts w:hint="eastAsia" w:ascii="宋体" w:hAnsi="宋体" w:eastAsia="宋体" w:cs="宋体"/>
                <w:i w:val="0"/>
                <w:iCs w:val="0"/>
                <w:color w:val="auto"/>
                <w:sz w:val="22"/>
                <w:szCs w:val="22"/>
                <w:u w:val="none"/>
              </w:rPr>
            </w:pPr>
          </w:p>
        </w:tc>
      </w:tr>
    </w:tbl>
    <w:p w14:paraId="0136CBD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仿宋_GB2312" w:hAnsi="仿宋_GB2312" w:eastAsia="仿宋_GB2312" w:cs="仿宋_GB2312"/>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FAE32F28-0B55-4088-B897-BD9AF9C22B99}"/>
  </w:font>
  <w:font w:name="仿宋_GB2312">
    <w:panose1 w:val="02010609030101010101"/>
    <w:charset w:val="86"/>
    <w:family w:val="auto"/>
    <w:pitch w:val="default"/>
    <w:sig w:usb0="00000001" w:usb1="080E0000" w:usb2="00000000" w:usb3="00000000" w:csb0="00040000" w:csb1="00000000"/>
    <w:embedRegular r:id="rId2" w:fontKey="{A49C6FB9-62B9-4309-BAEA-DBC119775ABE}"/>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27A0B"/>
    <w:rsid w:val="07C238AD"/>
    <w:rsid w:val="12EC7C9C"/>
    <w:rsid w:val="16E06217"/>
    <w:rsid w:val="1C4147AF"/>
    <w:rsid w:val="1D6524BF"/>
    <w:rsid w:val="25AB17E9"/>
    <w:rsid w:val="26A769C8"/>
    <w:rsid w:val="286363AA"/>
    <w:rsid w:val="2CCA0B14"/>
    <w:rsid w:val="2E5E584E"/>
    <w:rsid w:val="2E7D0FF5"/>
    <w:rsid w:val="30393E95"/>
    <w:rsid w:val="341C6B8B"/>
    <w:rsid w:val="37C411CF"/>
    <w:rsid w:val="38795698"/>
    <w:rsid w:val="40C83C56"/>
    <w:rsid w:val="44365E73"/>
    <w:rsid w:val="44697F6D"/>
    <w:rsid w:val="484E555F"/>
    <w:rsid w:val="4A1B669C"/>
    <w:rsid w:val="55C81378"/>
    <w:rsid w:val="57F80E5A"/>
    <w:rsid w:val="66016621"/>
    <w:rsid w:val="676B2E97"/>
    <w:rsid w:val="68060D67"/>
    <w:rsid w:val="6B1336F4"/>
    <w:rsid w:val="6B56531F"/>
    <w:rsid w:val="6B7C465A"/>
    <w:rsid w:val="7AC8403A"/>
    <w:rsid w:val="7E797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1"/>
    <w:pPr>
      <w:ind w:left="100"/>
      <w:outlineLvl w:val="1"/>
    </w:pPr>
    <w:rPr>
      <w:rFonts w:ascii="宋体" w:hAnsi="宋体" w:eastAsia="宋体"/>
      <w:sz w:val="29"/>
      <w:szCs w:val="29"/>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table" w:styleId="6">
    <w:name w:val="Table Grid"/>
    <w:basedOn w:val="5"/>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annotation reference"/>
    <w:qFormat/>
    <w:uiPriority w:val="0"/>
    <w:rPr>
      <w:sz w:val="21"/>
      <w:szCs w:val="21"/>
    </w:rPr>
  </w:style>
  <w:style w:type="paragraph" w:customStyle="1" w:styleId="9">
    <w:name w:val="_Style 10"/>
    <w:basedOn w:val="10"/>
    <w:next w:val="11"/>
    <w:qFormat/>
    <w:uiPriority w:val="34"/>
    <w:pPr>
      <w:ind w:firstLine="420" w:firstLineChars="200"/>
    </w:pPr>
  </w:style>
  <w:style w:type="paragraph" w:customStyle="1" w:styleId="10">
    <w:name w:val="正文_0_0"/>
    <w:qFormat/>
    <w:uiPriority w:val="0"/>
    <w:pPr>
      <w:widowControl w:val="0"/>
      <w:jc w:val="both"/>
    </w:pPr>
    <w:rPr>
      <w:rFonts w:ascii="Calibri" w:hAnsi="Calibri" w:eastAsia="宋体" w:cs="Times New Roman"/>
      <w:lang w:val="en-US" w:eastAsia="zh-CN" w:bidi="ar-SA"/>
    </w:rPr>
  </w:style>
  <w:style w:type="paragraph" w:customStyle="1" w:styleId="11">
    <w:name w:val="List Paragraph_0"/>
    <w:basedOn w:val="12"/>
    <w:qFormat/>
    <w:uiPriority w:val="34"/>
    <w:pPr>
      <w:ind w:firstLine="420" w:firstLineChars="200"/>
    </w:pPr>
    <w:rPr>
      <w:rFonts w:ascii="宋体" w:hAnsi="宋体" w:eastAsia="宋体" w:cs="宋体"/>
    </w:rPr>
  </w:style>
  <w:style w:type="paragraph" w:customStyle="1" w:styleId="12">
    <w:name w:val="Normal_6"/>
    <w:qFormat/>
    <w:uiPriority w:val="0"/>
    <w:rPr>
      <w:rFonts w:ascii="Times New Roman" w:hAnsi="Times New Roman" w:eastAsia="Times New Roman" w:cs="Times New Roman"/>
      <w:sz w:val="24"/>
      <w:szCs w:val="24"/>
      <w:lang w:val="en-US" w:eastAsia="zh-CN" w:bidi="ar-SA"/>
    </w:rPr>
  </w:style>
  <w:style w:type="character" w:customStyle="1" w:styleId="13">
    <w:name w:val="font11"/>
    <w:basedOn w:val="7"/>
    <w:qFormat/>
    <w:uiPriority w:val="0"/>
    <w:rPr>
      <w:rFonts w:hint="eastAsia" w:ascii="宋体" w:hAnsi="宋体" w:eastAsia="宋体" w:cs="宋体"/>
      <w:color w:val="0070C0"/>
      <w:sz w:val="22"/>
      <w:szCs w:val="22"/>
      <w:u w:val="none"/>
    </w:rPr>
  </w:style>
  <w:style w:type="character" w:customStyle="1" w:styleId="14">
    <w:name w:val="font01"/>
    <w:basedOn w:val="7"/>
    <w:qFormat/>
    <w:uiPriority w:val="0"/>
    <w:rPr>
      <w:rFonts w:hint="eastAsia" w:ascii="宋体" w:hAnsi="宋体" w:eastAsia="宋体" w:cs="宋体"/>
      <w:color w:val="000000"/>
      <w:sz w:val="22"/>
      <w:szCs w:val="22"/>
      <w:u w:val="none"/>
    </w:rPr>
  </w:style>
  <w:style w:type="character" w:customStyle="1" w:styleId="15">
    <w:name w:val="font21"/>
    <w:basedOn w:val="7"/>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5cd3db0c-037f-4a3e-8231-1f2383114986</errorID>
      <errorWord>台湾地区</errorWord>
      <group>L1_Word</group>
      <groupName>字词问题</groupName>
      <ability>L2_Typo</ability>
      <abilityName>字词错误</abilityName>
      <candidateList>
        <item>中国台湾地区</item>
      </candidateList>
      <explain/>
      <paraID>77140AA4</paraID>
      <start>69</start>
      <end>73</end>
      <status>unmodified</status>
      <modifiedWord/>
      <trackRevisions>false</trackRevisions>
    </reviewItem>
    <reviewItem>
      <errorID>e913169a-f162-4fe4-91be-49b328c7c023</errorID>
      <errorWord>服务费</errorWord>
      <group>L1_Word</group>
      <groupName>字词问题</groupName>
      <ability>L2_Typo</ability>
      <abilityName>字词错误</abilityName>
      <candidateList>
        <item>的服务费</item>
      </candidateList>
      <explain/>
      <paraID>77140AA8</paraID>
      <start>84</start>
      <end>87</end>
      <status>unmodified</status>
      <modifiedWord/>
      <trackRevisions>false</trackRevisions>
    </reviewItem>
    <reviewItem>
      <errorID>e7600329-989a-47d5-99fb-3e4c1e1169b7</errorID>
      <errorWord>快递公司</errorWord>
      <group>L1_Grammar</group>
      <groupName>语法问题</groupName>
      <ability>L2_Grammar</ability>
      <abilityName>语法错误</abilityName>
      <candidateList>
        <item>其</item>
      </candidateList>
      <explain/>
      <paraID>77140AA8</paraID>
      <start>91</start>
      <end>95</end>
      <status>unmodified</status>
      <modifiedWord/>
      <trackRevisions>false</trackRevisions>
    </reviewItem>
    <reviewItem>
      <errorID>5a16698b-87fd-4fa0-9b45-afa1e4381edf</errorID>
      <errorWord>金额</errorWord>
      <group>L1_Word</group>
      <groupName>字词问题</groupName>
      <ability>L2_Typo</ability>
      <abilityName>字词错误</abilityName>
      <candidateList>
        <item>的金额</item>
      </candidateList>
      <explain/>
      <paraID>77140AA8</paraID>
      <start>109</start>
      <end>111</end>
      <status>unmodified</status>
      <modifiedWord/>
      <trackRevisions>false</trackRevisions>
    </reviewItem>
    <reviewItem>
      <errorID>a03aa74a-32f7-47c2-81c4-cb2833f5f1e5</errorID>
      <errorWord>,</errorWord>
      <group>L1_Format</group>
      <groupName>格式问题</groupName>
      <ability>L2_HalfPunc_CN</ability>
      <abilityName>全半角问题</abilityName>
      <candidateList>
        <item>，</item>
      </candidateList>
      <explain>文本全半角错误。</explain>
      <paraID>77140AAB</paraID>
      <start>62</start>
      <end>63</end>
      <status>unmodified</status>
      <modifiedWord/>
      <trackRevisions>false</trackRevisions>
    </reviewItem>
    <reviewItem>
      <errorID>f3f15d23-2c36-488a-ae71-53c45a2d59ec</errorID>
      <errorWord>楚</errorWord>
      <group>L1_Word</group>
      <groupName>字词问题</groupName>
      <ability>L2_Typo</ability>
      <abilityName>字词错误</abilityName>
      <candidateList>
        <item>楚地</item>
      </candidateList>
      <explain/>
      <paraID>77140AB0</paraID>
      <start>39</start>
      <end>40</end>
      <status>unmodified</status>
      <modifiedWord/>
      <trackRevisions>false</trackRevisions>
    </reviewItem>
    <reviewItem>
      <errorID>7f7e8d35-5ff2-433c-952c-de0ae72f7476</errorID>
      <errorWord>晰</errorWord>
      <group>L1_Word</group>
      <groupName>字词问题</groupName>
      <ability>L2_Typo</ability>
      <abilityName>字词错误</abilityName>
      <candidateList>
        <item>晰地</item>
      </candidateList>
      <explain/>
      <paraID>77140AB0</paraID>
      <start>56</start>
      <end>57</end>
      <status>unmodified</status>
      <modifiedWord/>
      <trackRevisions>false</trackRevisions>
    </reviewItem>
    <reviewItem>
      <errorID>343ccee5-7d09-4d16-9e9a-7f62ba6e1d73</errorID>
      <errorWord>完备</errorWord>
      <group>L1_Grammar</group>
      <groupName>语法问题</groupName>
      <ability>L2_Grammar</ability>
      <abilityName>语法错误</abilityName>
      <candidateList>
        <item>完善</item>
      </candidateList>
      <explain>“完备～机制”搭配不当，建议修改为“完善～机制”。</explain>
      <paraID>77140AB9</paraID>
      <start>7</start>
      <end>9</end>
      <status>unmodified</status>
      <modifiedWord/>
      <trackRevisions>false</trackRevisions>
    </reviewItem>
    <reviewItem>
      <errorID>3812bd5a-411f-42ce-92e4-e951d6a29851</errorID>
      <errorWord>并</errorWord>
      <group>L1_Word</group>
      <groupName>字词问题</groupName>
      <ability>L2_Typo</ability>
      <abilityName>字词错误</abilityName>
      <candidateList>
        <item>，</item>
      </candidateList>
      <explain/>
      <paraID>77140AC9</paraID>
      <start>15</start>
      <end>16</end>
      <status>unmodified</status>
      <modifiedWord/>
      <trackRevisions>false</trackRevisions>
    </reviewItem>
    <reviewItem>
      <errorID>4e1b9d4c-06a2-4bdf-b467-f8547a3e0a05</errorID>
      <errorWord>的</errorWord>
      <group>L1_Word</group>
      <groupName>字词问题</groupName>
      <ability>L2_Typo</ability>
      <abilityName>字词错误</abilityName>
      <candidateList>
        <item>并</item>
      </candidateList>
      <explain/>
      <paraID>77140AC9</paraID>
      <start>24</start>
      <end>25</end>
      <status>unmodified</status>
      <modifiedWord/>
      <trackRevisions>false</trackRevisions>
    </reviewItem>
    <reviewItem>
      <errorID>6e2e4eb0-bcd9-4083-bcb0-ec5554b55e78</errorID>
      <errorWord>造成的</errorWord>
      <group>L1_Word</group>
      <groupName>字词问题</groupName>
      <ability>L2_Typo</ability>
      <abilityName>字词错误</abilityName>
      <candidateList>
        <item>造成</item>
      </candidateList>
      <explain/>
      <paraID>77140AC9</paraID>
      <start>55</start>
      <end>58</end>
      <status>unmodified</status>
      <modifiedWord/>
      <trackRevisions>false</trackRevisions>
    </reviewItem>
    <reviewItem>
      <errorID>c03b94d2-8baa-437e-a51e-c384637cdb88</errorID>
      <errorWord>处理并</errorWord>
      <group>L1_Word</group>
      <groupName>字词问题</groupName>
      <ability>L2_Typo</ability>
      <abilityName>字词错误</abilityName>
      <candidateList>
        <item>并处理，</item>
      </candidateList>
      <explain/>
      <paraID>77140AC9</paraID>
      <start>103</start>
      <end>106</end>
      <status>unmodified</status>
      <modifiedWord/>
      <trackRevisions>false</trackRevisions>
    </reviewItem>
    <reviewItem>
      <errorID>5516e144-ec48-4154-b7a0-b95dc6345db6</errorID>
      <errorWord>因此而</errorWord>
      <group>L1_Word</group>
      <groupName>字词问题</groupName>
      <ability>L2_Typo</ability>
      <abilityName>字词错误</abilityName>
      <candidateList>
        <item>因此</item>
      </candidateList>
      <explain/>
      <paraID>77140AC9</paraID>
      <start>108</start>
      <end>111</end>
      <status>unmodified</status>
      <modifiedWord/>
      <trackRevisions>false</trackRevisions>
    </reviewItem>
    <reviewItem>
      <errorID>0a097d2d-7f10-4e4c-b758-d8ad5d2d885e</errorID>
      <errorWord>；且</errorWord>
      <group>L1_Word</group>
      <groupName>字词问题</groupName>
      <ability>L2_Typo</ability>
      <abilityName>字词错误</abilityName>
      <candidateList>
        <item>；</item>
      </candidateList>
      <explain/>
      <paraID>77140AC9</paraID>
      <start>123</start>
      <end>125</end>
      <status>unmodified</status>
      <modifiedWord/>
      <trackRevisions>false</trackRevisions>
    </reviewItem>
    <reviewItem>
      <errorID>61f2880e-5c16-48ca-b7ee-3bc7f1fdcf76</errorID>
      <errorWord>按药品</errorWord>
      <group>L1_Grammar</group>
      <groupName>语法问题</groupName>
      <ability>L2_Grammar</ability>
      <abilityName>语法错误</abilityName>
      <candidateList>
        <item>按</item>
      </candidateList>
      <explain/>
      <paraID>77140AC9</paraID>
      <start>131</start>
      <end>134</end>
      <status>unmodified</status>
      <modifiedWord/>
      <trackRevisions>false</trackRevisions>
    </reviewItem>
    <reviewItem>
      <errorID>fbb3e2c8-7b74-44e6-910d-6e0cfb83e7ad</errorID>
      <errorWord>，</errorWord>
      <group>L1_Punc</group>
      <groupName>标点问题</groupName>
      <ability>L2_Punc_CN</ability>
      <abilityName>标点符号问题</abilityName>
      <candidateList>
        <item>、</item>
      </candidateList>
      <explain/>
      <paraID>77140ACC</paraID>
      <start>23</start>
      <end>24</end>
      <status>unmodified</status>
      <modifiedWord/>
      <trackRevisions>false</trackRevisions>
    </reviewItem>
    <reviewItem>
      <errorID>66f3adf3-4671-4eef-8474-b2b0d4e23eef</errorID>
      <errorWord>12．其他要求</errorWord>
      <group>L1_Other</group>
      <groupName>其他问题</groupName>
      <ability>L2_Consistency</ability>
      <abilityName>一致性检查</abilityName>
      <candidateList>
        <item>15.其它要求</item>
      </candidateList>
      <explain>术语一致性错误，文末已有“15.其它要求”的一级条目编号，此处编号重复，表述不一致</explain>
      <paraID>77140AD2</paraID>
      <start>0</start>
      <end>7</end>
      <status>unmodified</status>
      <modifiedWord/>
      <trackRevisions>false</trackRevisions>
    </reviewItem>
    <reviewItem>
      <errorID>e9ba081e-78df-4d16-aef9-5ee1a3838c6d</errorID>
      <errorWord>,</errorWord>
      <group>L1_Format</group>
      <groupName>格式问题</groupName>
      <ability>L2_HalfPunc_CN</ability>
      <abilityName>全半角问题</abilityName>
      <candidateList>
        <item>，</item>
      </candidateList>
      <explain>文本全半角错误。</explain>
      <paraID>77140AD5</paraID>
      <start>26</start>
      <end>27</end>
      <status>unmodified</status>
      <modifiedWord/>
      <trackRevisions>false</trackRevisions>
    </reviewItem>
    <reviewItem>
      <errorID>070f1643-b4f7-4b0c-b6e6-c65f93667b36</errorID>
      <errorWord>保护性包装纸质</errorWord>
      <group>L1_Grammar</group>
      <groupName>语法问题</groupName>
      <ability>L2_Grammar</ability>
      <abilityName>语法错误</abilityName>
      <candidateList>
        <item>对纸质</item>
      </candidateList>
      <explain/>
      <paraID>77140ADA</paraID>
      <start>3</start>
      <end>10</end>
      <status>unmodified</status>
      <modifiedWord/>
      <trackRevisions>false</trackRevisions>
    </reviewItem>
    <reviewItem>
      <errorID>0ad2772e-5c52-4969-a063-1c12d9d07ce2</errorID>
      <errorWord>，</errorWord>
      <group>L1_Grammar</group>
      <groupName>语法问题</groupName>
      <ability>L2_Grammar</ability>
      <abilityName>语法错误</abilityName>
      <candidateList>
        <item>进行保护性包装，</item>
      </candidateList>
      <explain/>
      <paraID>77140ADA</paraID>
      <start>15</start>
      <end>16</end>
      <status>unmodified</status>
      <modifiedWord/>
      <trackRevisions>false</trackRevisions>
    </reviewItem>
    <reviewItem>
      <errorID>0962d237-cc42-4f49-b92f-bd29211401a2</errorID>
      <errorWord>无</errorWord>
      <group>L1_Punc</group>
      <groupName>标点问题</groupName>
      <ability>L2_Punc_CN</ability>
      <abilityName>标点符号问题</abilityName>
      <candidateList>
        <item>、无</item>
      </candidateList>
      <explain/>
      <paraID>77140ADA</paraID>
      <start>28</start>
      <end>29</end>
      <status>unmodified</status>
      <modifiedWord/>
      <trackRevisions>false</trackRevisions>
    </reviewItem>
    <reviewItem>
      <errorID>b23ec52c-709a-48a5-9fe5-594fb0f241b9</errorID>
      <errorWord>其它</errorWord>
      <group>L1_Word</group>
      <groupName>字词问题</groupName>
      <ability>L2_Alias</ability>
      <abilityName>也作/曾用词</abilityName>
      <candidateList>
        <item>其他</item>
      </candidateList>
      <explain>词汇[其它]为不规范表述或旧称，其规范书面表述为[其他]。</explain>
      <paraID>77140ADD</paraID>
      <start>3</start>
      <end>5</end>
      <status>unmodified</status>
      <modifiedWord/>
      <trackRevisions>false</trackRevisions>
    </reviewItem>
    <reviewItem>
      <errorID>c902f076-9634-41d1-9da6-36d8f676ed3a</errorID>
      <errorWord>第二条、</errorWord>
      <group>L1_Format</group>
      <groupName>格式问题</groupName>
      <ability>L2_Ordinal</ability>
      <abilityName>序号格式</abilityName>
      <candidateList>
        <item>二、</item>
      </candidateList>
      <explain>标题顺序错误，请检查标题顺序是否合理。</explain>
      <paraID>77140AE0</paraID>
      <start>0</start>
      <end>4</end>
      <status>unmodified</status>
      <modifiedWord/>
      <trackRevisions>false</trackRevisions>
    </reviewItem>
    <reviewItem>
      <errorID>d9bc055c-473c-400b-9f1d-7a2606c35a9a</errorID>
      <errorWord>和承担</errorWord>
      <group>L1_Word</group>
      <groupName>字词问题</groupName>
      <ability>L2_Typo</ability>
      <abilityName>字词错误</abilityName>
      <candidateList>
        <item>责任和</item>
      </candidateList>
      <explain/>
      <paraID>77140AE1</paraID>
      <start>65</start>
      <end>68</end>
      <status>unmodified</status>
      <modifiedWord/>
      <trackRevisions>false</trackRevisions>
    </reviewItem>
    <reviewItem>
      <errorID>77787e77-cb7c-4b05-920d-2bd2c1d48baf</errorID>
      <errorWord>第三条、</errorWord>
      <group>L1_Punc</group>
      <groupName>标点问题</groupName>
      <ability>L2_Punc_CN</ability>
      <abilityName>标点符号问题</abilityName>
      <candidateList>
        <item>第三条，</item>
      </candidateList>
      <explain>连接词前后不宜使用顿号，建议使用逗号。</explain>
      <paraID>77140AE2</paraID>
      <start>0</start>
      <end>4</end>
      <status>unmodified</status>
      <modifiedWord/>
      <trackRevisions>false</trackRevisions>
    </reviewItem>
    <reviewItem>
      <errorID>5fcbe7ba-c89a-405b-9524-38940eae0ed0</errorID>
      <errorWord>(</errorWord>
      <group>L1_Format</group>
      <groupName>格式问题</groupName>
      <ability>L2_HalfPunc_CN</ability>
      <abilityName>全半角问题</abilityName>
      <candidateList>
        <item>（</item>
      </candidateList>
      <explain>文本全半角错误。</explain>
      <paraID>72BD038D</paraID>
      <start>91</start>
      <end>92</end>
      <status>unmodified</status>
      <modifiedWord/>
      <trackRevisions>false</trackRevisions>
    </reviewItem>
    <reviewItem>
      <errorID>24afc563-1cfc-46f8-947b-9f755d4f5d81</errorID>
      <errorWord>)</errorWord>
      <group>L1_Format</group>
      <groupName>格式问题</groupName>
      <ability>L2_HalfPunc_CN</ability>
      <abilityName>全半角问题</abilityName>
      <candidateList>
        <item>）</item>
      </candidateList>
      <explain>文本全半角错误。</explain>
      <paraID>72BD038D</paraID>
      <start>100</start>
      <end>101</end>
      <status>unmodified</status>
      <modifiedWord/>
      <trackRevisions>false</trackRevisions>
    </reviewItem>
    <reviewItem>
      <errorID>13258cbc-0943-4a85-b85b-c506908930b6</errorID>
      <errorWord>(</errorWord>
      <group>L1_Format</group>
      <groupName>格式问题</groupName>
      <ability>L2_HalfPunc_CN</ability>
      <abilityName>全半角问题</abilityName>
      <candidateList>
        <item>（</item>
      </candidateList>
      <explain>文本全半角错误。</explain>
      <paraID>72BD038D</paraID>
      <start>219</start>
      <end>220</end>
      <status>unmodified</status>
      <modifiedWord/>
      <trackRevisions>false</trackRevisions>
    </reviewItem>
    <reviewItem>
      <errorID>ac65502c-56ab-4c34-af0a-d16d89421a6d</errorID>
      <errorWord>)</errorWord>
      <group>L1_Format</group>
      <groupName>格式问题</groupName>
      <ability>L2_HalfPunc_CN</ability>
      <abilityName>全半角问题</abilityName>
      <candidateList>
        <item>）</item>
      </candidateList>
      <explain>文本全半角错误。</explain>
      <paraID>72BD038D</paraID>
      <start>228</start>
      <end>229</end>
      <status>unmodified</status>
      <modifiedWord/>
      <trackRevisions>false</trackRevisions>
    </reviewItem>
    <reviewItem>
      <errorID>11aa99cf-3f77-4722-a5cd-4f42ad8a4a42</errorID>
      <errorWord>6%-8%</errorWord>
      <group>L1_Knowledge</group>
      <groupName>知识性问题</groupName>
      <ability>L2_Knowledge</ability>
      <abilityName>其他知识</abilityName>
      <candidateList>
        <item>6%—8%</item>
      </candidateList>
      <explain>1. “6%-8%”中的单位“%”仅出现在后一个数字上，容易引起歧义；根据《现代汉语标点符号数字用法规范手册》，数字表示范围两边需要使用统一的格式。2. 根据标点国标 4.13 中的规则，数字、时间或地域连接符应使用（视觉上更长的）“—”或“～”。</explain>
      <paraID>6831C575</paraID>
      <start>8</start>
      <end>13</end>
      <status>unmodified</status>
      <modifiedWord/>
      <trackRevisions>false</trackRevisions>
    </reviewItem>
    <reviewItem>
      <errorID>13f48867-c39a-41e3-80d8-c3a6a24f7668</errorID>
      <errorWord>4%-5%</errorWord>
      <group>L1_Knowledge</group>
      <groupName>知识性问题</groupName>
      <ability>L2_Knowledge</ability>
      <abilityName>其他知识</abilityName>
      <candidateList>
        <item>4%—5%</item>
      </candidateList>
      <explain>1. “4%-5%”中的单位“%”仅出现在后一个数字上，容易引起歧义；根据《现代汉语标点符号数字用法规范手册》，数字表示范围两边需要使用统一的格式。2. 根据标点国标 4.13 中的规则，数字、时间或地域连接符应使用（视觉上更长的）“—”或“～”。</explain>
      <paraID>5A84D199</paraID>
      <start>9</start>
      <end>14</end>
      <status>unmodified</status>
      <modifiedWord/>
      <trackRevisions>false</trackRevisions>
    </reviewItem>
    <reviewItem>
      <errorID>3f74c8f6-030a-4604-8c91-7d60ea0d779c</errorID>
      <errorWord>:</errorWord>
      <group>L1_Format</group>
      <groupName>格式问题</groupName>
      <ability>L2_HalfPunc_CN</ability>
      <abilityName>全半角问题</abilityName>
      <candidateList>
        <item>：</item>
      </candidateList>
      <explain>文本全半角错误。</explain>
      <paraID>54135C25</paraID>
      <start>32</start>
      <end>33</end>
      <status>unmodified</status>
      <modifiedWord/>
      <trackRevisions>false</trackRevisions>
    </reviewItem>
    <reviewItem>
      <errorID>83a7a99b-05f8-4da2-8fea-5e60054ce631</errorID>
      <errorWord>(</errorWord>
      <group>L1_Format</group>
      <groupName>格式问题</groupName>
      <ability>L2_HalfPunc_CN</ability>
      <abilityName>全半角问题</abilityName>
      <candidateList>
        <item>（</item>
      </candidateList>
      <explain>文本全半角错误。</explain>
      <paraID>28B4BF91</paraID>
      <start>123</start>
      <end>124</end>
      <status>unmodified</status>
      <modifiedWord/>
      <trackRevisions>false</trackRevisions>
    </reviewItem>
    <reviewItem>
      <errorID>61591f63-2c98-4ddd-9691-0a466c94caf0</errorID>
      <errorWord>)</errorWord>
      <group>L1_Format</group>
      <groupName>格式问题</groupName>
      <ability>L2_HalfPunc_CN</ability>
      <abilityName>全半角问题</abilityName>
      <candidateList>
        <item>）</item>
      </candidateList>
      <explain>文本全半角错误。</explain>
      <paraID>28B4BF91</paraID>
      <start>143</start>
      <end>144</end>
      <status>unmodified</status>
      <modifiedWord/>
      <trackRevisions>false</trackRevisions>
    </reviewItem>
    <reviewItem>
      <errorID>14e78898-c856-4f89-ad23-9bf07d3e9951</errorID>
      <errorWord>的针对</errorWord>
      <group>L1_Grammar</group>
      <groupName>语法问题</groupName>
      <ability>L2_Grammar</ability>
      <abilityName>语法错误</abilityName>
      <candidateList>
        <item>的</item>
      </candidateList>
      <explain/>
      <paraID>37514485</paraID>
      <start>7</start>
      <end>10</end>
      <status>unmodified</status>
      <modifiedWord/>
      <trackRevisions>false</trackRevisions>
    </reviewItem>
    <reviewItem>
      <errorID>5565a5e7-e31c-485e-b22c-5f7dd85466e5</errorID>
      <errorWord> </errorWord>
      <group>L1_Punc</group>
      <groupName>标点问题</groupName>
      <ability>L2_Punc_CN</ability>
      <abilityName>标点符号问题</abilityName>
      <candidateList>
        <item/>
      </candidateList>
      <explain>此处空格冗余，建议删除。</explain>
      <paraID>37514485</paraID>
      <start>58</start>
      <end>59</end>
      <status>unmodified</status>
      <modifiedWord/>
      <trackRevisions>false</trackRevisions>
    </reviewItem>
    <reviewItem>
      <errorID>71e1555f-551e-4b9e-b2b8-83a78ca8ee42</errorID>
      <errorWord>、</errorWord>
      <group>L1_Punc</group>
      <groupName>标点问题</groupName>
      <ability>L2_Punc_CN</ability>
      <abilityName>标点符号问题</abilityName>
      <candidateList>
        <item>；</item>
      </candidateList>
      <explain/>
      <paraID>37514485</paraID>
      <start>71</start>
      <end>72</end>
      <status>unmodified</status>
      <modifiedWord/>
      <trackRevisions>false</trackRevisions>
    </reviewItem>
    <reviewItem>
      <errorID>080680db-e471-4c29-96ee-45f0a5babbdd</errorID>
      <errorWord>、</errorWord>
      <group>L1_Punc</group>
      <groupName>标点问题</groupName>
      <ability>L2_Punc_CN</ability>
      <abilityName>标点符号问题</abilityName>
      <candidateList>
        <item>；</item>
      </candidateList>
      <explain/>
      <paraID>37514485</paraID>
      <start>80</start>
      <end>81</end>
      <status>unmodified</status>
      <modifiedWord/>
      <trackRevisions>false</trackRevisions>
    </reviewItem>
    <reviewItem>
      <errorID>0bf9ec1d-243f-436a-9527-031dfd6cf4cc</errorID>
      <errorWord>；</errorWord>
      <group>L1_Punc</group>
      <groupName>标点问题</groupName>
      <ability>L2_Punc_CN</ability>
      <abilityName>标点符号问题</abilityName>
      <candidateList>
        <item>，</item>
      </candidateList>
      <explain/>
      <paraID>76942AE0</paraID>
      <start>39</start>
      <end>40</end>
      <status>unmodified</status>
      <modifiedWord/>
      <trackRevisions>false</trackRevisions>
    </reviewItem>
    <reviewItem>
      <errorID>3b243df4-9212-4688-abd4-7da2744c9b8a</errorID>
      <errorWord>；并</errorWord>
      <group>L1_Word</group>
      <groupName>字词问题</groupName>
      <ability>L2_Typo</ability>
      <abilityName>字词错误</abilityName>
      <candidateList>
        <item>，</item>
      </candidateList>
      <explain/>
      <paraID>76942AE0</paraID>
      <start>79</start>
      <end>81</end>
      <status>unmodified</status>
      <modifiedWord/>
      <trackRevisions>false</trackRevisions>
    </reviewItem>
    <reviewItem>
      <errorID>f509b53f-eb6f-4fd3-9b72-c3969bbec47d</errorID>
      <errorWord>、</errorWord>
      <group>L1_Word</group>
      <groupName>字词问题</groupName>
      <ability>L2_Typo</ability>
      <abilityName>字词错误</abilityName>
      <candidateList>
        <item>和</item>
      </candidateList>
      <explain/>
      <paraID>76942AE0</paraID>
      <start>107</start>
      <end>108</end>
      <status>unmodified</status>
      <modifiedWord/>
      <trackRevisions>false</trackRevisions>
    </reviewItem>
    <reviewItem>
      <errorID>ee550a87-e0b5-4877-aed1-cdd31f7121e2</errorID>
      <errorWord>、</errorWord>
      <group>L1_Punc</group>
      <groupName>标点问题</groupName>
      <ability>L2_Punc_CN</ability>
      <abilityName>标点符号问题</abilityName>
      <candidateList>
        <item>；</item>
      </candidateList>
      <explain/>
      <paraID>1204BC5F</paraID>
      <start>51</start>
      <end>52</end>
      <status>unmodified</status>
      <modifiedWord/>
      <trackRevisions>false</trackRevisions>
    </reviewItem>
    <reviewItem>
      <errorID>7bfb2070-2f2e-49d1-832e-6fe506d36751</errorID>
      <errorWord>、</errorWord>
      <group>L1_Punc</group>
      <groupName>标点问题</groupName>
      <ability>L2_Punc_CN</ability>
      <abilityName>标点符号问题</abilityName>
      <candidateList>
        <item>；</item>
      </candidateList>
      <explain/>
      <paraID>1204BC5F</paraID>
      <start>61</start>
      <end>62</end>
      <status>unmodified</status>
      <modifiedWord/>
      <trackRevisions>false</trackRevisions>
    </reviewItem>
    <reviewItem>
      <errorID>ea2df27b-ff2b-4642-8d19-a51e824432c3</errorID>
      <errorWord>、</errorWord>
      <group>L1_Punc</group>
      <groupName>标点问题</groupName>
      <ability>L2_Punc_CN</ability>
      <abilityName>标点符号问题</abilityName>
      <candidateList>
        <item>；</item>
      </candidateList>
      <explain/>
      <paraID>1204BC5F</paraID>
      <start>69</start>
      <end>70</end>
      <status>unmodified</status>
      <modifiedWord/>
      <trackRevisions>false</trackRevisions>
    </reviewItem>
    <reviewItem>
      <errorID>10f0e984-0378-42ad-aecb-447c0840845b</errorID>
      <errorWord>处理</errorWord>
      <group>L1_Punc</group>
      <groupName>标点问题</groupName>
      <ability>L2_Punc_CN</ability>
      <abilityName>标点符号问题</abilityName>
      <candidateList>
        <item>处理。</item>
      </candidateList>
      <explain/>
      <paraID>1204BC5F</paraID>
      <start>73</start>
      <end>75</end>
      <status>unmodified</status>
      <modifiedWord/>
      <trackRevisions>false</trackRevisions>
    </reviewItem>
    <reviewItem>
      <errorID>3762a000-9269-4e81-a934-a776d126a59c</errorID>
      <errorWord>供应商</errorWord>
      <group>L1_Punc</group>
      <groupName>标点问题</groupName>
      <ability>L2_Punc_CN</ability>
      <abilityName>标点符号问题</abilityName>
      <candidateList>
        <item>：供应商</item>
      </candidateList>
      <explain/>
      <paraID>1204BC5F</paraID>
      <start>82</start>
      <end>85</end>
      <status>unmodified</status>
      <modifiedWord/>
      <trackRevisions>false</trackRevisions>
    </reviewItem>
    <reviewItem>
      <errorID>fbd8c680-3206-40fd-a12a-20f5062e5f6c</errorID>
      <errorWord>包含有</errorWord>
      <group>L1_Word</group>
      <groupName>字词问题</groupName>
      <ability>L2_Typo</ability>
      <abilityName>字词错误</abilityName>
      <candidateList>
        <item>包含</item>
      </candidateList>
      <explain/>
      <paraID>1204BC5F</paraID>
      <start>112</start>
      <end>115</end>
      <status>unmodified</status>
      <modifiedWord/>
      <trackRevisions>false</trackRevisions>
    </reviewItem>
    <reviewItem>
      <errorID>f4e5e210-5480-4cd8-b1eb-01cfae6ad137</errorID>
      <errorWord>；</errorWord>
      <group>L1_Punc</group>
      <groupName>标点问题</groupName>
      <ability>L2_Punc_CN</ability>
      <abilityName>标点符号问题</abilityName>
      <candidateList>
        <item>。</item>
      </candidateList>
      <explain/>
      <paraID>1204BC5F</paraID>
      <start>121</start>
      <end>122</end>
      <status>unmodified</status>
      <modifiedWord/>
      <trackRevisions>false</trackRevisions>
    </reviewItem>
    <reviewItem>
      <errorID>6ed9bc34-3927-4167-82fb-d864909b3965</errorID>
      <errorWord>在</errorWord>
      <group>L1_Punc</group>
      <groupName>标点问题</groupName>
      <ability>L2_Punc_CN</ability>
      <abilityName>标点符号问题</abilityName>
      <candidateList>
        <item>：在</item>
      </candidateList>
      <explain/>
      <paraID>1204BC5F</paraID>
      <start>129</start>
      <end>130</end>
      <status>unmodified</status>
      <modifiedWord/>
      <trackRevisions>false</trackRevisions>
    </reviewItem>
    <reviewItem>
      <errorID>5043551d-d37f-445d-b90f-1d767029c742</errorID>
      <errorWord>包含有</errorWord>
      <group>L1_Word</group>
      <groupName>字词问题</groupName>
      <ability>L2_Typo</ability>
      <abilityName>字词错误</abilityName>
      <candidateList>
        <item>包含</item>
      </candidateList>
      <explain/>
      <paraID>1204BC5F</paraID>
      <start>155</start>
      <end>158</end>
      <status>unmodified</status>
      <modifiedWord/>
      <trackRevisions>false</trackRevisions>
    </reviewItem>
    <reviewItem>
      <errorID>81dc9f92-3afc-4391-ba61-d8c9493fd334</errorID>
      <errorWord>；</errorWord>
      <group>L1_Punc</group>
      <groupName>标点问题</groupName>
      <ability>L2_Punc_CN</ability>
      <abilityName>标点符号问题</abilityName>
      <candidateList>
        <item>，</item>
      </candidateList>
      <explain/>
      <paraID>1204BC5F</paraID>
      <start>171</start>
      <end>172</end>
      <status>unmodified</status>
      <modifiedWord/>
      <trackRevisions>false</trackRevisions>
    </reviewItem>
    <reviewItem>
      <errorID>58027c58-109b-4bac-96de-827df88bf6cc</errorID>
      <errorWord>）</errorWord>
      <group>L1_Word</group>
      <groupName>字词问题</groupName>
      <ability>L2_Typo</ability>
      <abilityName>字词错误</abilityName>
      <candidateList>
        <item>）按</item>
      </candidateList>
      <explain/>
      <paraID>1204BC5F</paraID>
      <start>197</start>
      <end>198</end>
      <status>unmodified</status>
      <modifiedWord/>
      <trackRevisions>false</trackRevisions>
    </reviewItem>
    <reviewItem>
      <errorID>75a6c77b-0e8d-4101-a554-e386aa9aa263</errorID>
      <errorWord>得</errorWord>
      <group>L1_Punc</group>
      <groupName>标点问题</groupName>
      <ability>L2_Punc_CN</ability>
      <abilityName>标点符号问题</abilityName>
      <candidateList>
        <item>，得</item>
      </candidateList>
      <explain/>
      <paraID>1204BC5F</paraID>
      <start>211</start>
      <end>212</end>
      <status>unmodified</status>
      <modifiedWord/>
      <trackRevisions>false</trackRevisions>
    </reviewItem>
    <reviewItem>
      <errorID>d767774a-0bd3-40af-aa29-2bb8b96415db</errorID>
      <errorWord>；</errorWord>
      <group>L1_Punc</group>
      <groupName>标点问题</groupName>
      <ability>L2_Punc_CN</ability>
      <abilityName>标点符号问题</abilityName>
      <candidateList>
        <item>。</item>
      </candidateList>
      <explain/>
      <paraID>1204BC5F</paraID>
      <start>214</start>
      <end>215</end>
      <status>unmodified</status>
      <modifiedWord/>
      <trackRevisions>false</trackRevisions>
    </reviewItem>
    <reviewItem>
      <errorID>e0405c6f-9ebb-4910-97dd-d95fc2c7fc24</errorID>
      <errorWord>在</errorWord>
      <group>L1_Punc</group>
      <groupName>标点问题</groupName>
      <ability>L2_Punc_CN</ability>
      <abilityName>标点符号问题</abilityName>
      <candidateList>
        <item>：在</item>
      </candidateList>
      <explain/>
      <paraID>1204BC5F</paraID>
      <start>222</start>
      <end>223</end>
      <status>unmodified</status>
      <modifiedWord/>
      <trackRevisions>false</trackRevisions>
    </reviewItem>
    <reviewItem>
      <errorID>4becf45f-42d6-4233-8bec-c140f8158813</errorID>
      <errorWord>包含有</errorWord>
      <group>L1_Word</group>
      <groupName>字词问题</groupName>
      <ability>L2_Typo</ability>
      <abilityName>字词错误</abilityName>
      <candidateList>
        <item>包含</item>
      </candidateList>
      <explain/>
      <paraID>1204BC5F</paraID>
      <start>248</start>
      <end>251</end>
      <status>unmodified</status>
      <modifiedWord/>
      <trackRevisions>false</trackRevisions>
    </reviewItem>
    <reviewItem>
      <errorID>cdf5e788-42e2-4b55-875d-b820a5a9d232</errorID>
      <errorWord>车辆的</errorWord>
      <group>L1_Word</group>
      <groupName>字词问题</groupName>
      <ability>L2_Typo</ability>
      <abilityName>字词错误</abilityName>
      <candidateList>
        <item>车辆</item>
      </candidateList>
      <explain/>
      <paraID>3D893A68</paraID>
      <start>25</start>
      <end>28</end>
      <status>unmodified</status>
      <modifiedWord/>
      <trackRevisions>false</trackRevisions>
    </reviewItem>
    <reviewItem>
      <errorID>e84db353-41de-43a5-a2f0-c03137ec94b4</errorID>
      <errorWord>(</errorWord>
      <group>L1_Format</group>
      <groupName>格式问题</groupName>
      <ability>L2_HalfPunc_CN</ability>
      <abilityName>全半角问题</abilityName>
      <candidateList>
        <item>（</item>
      </candidateList>
      <explain>文本全半角错误。</explain>
      <paraID>6DC8A4F7</paraID>
      <start>6</start>
      <end>7</end>
      <status>unmodified</status>
      <modifiedWord/>
      <trackRevisions>false</trackRevisions>
    </reviewItem>
    <reviewItem>
      <errorID>59c2436e-52a1-43fa-979c-f05f68e320ff</errorID>
      <errorWord>)</errorWord>
      <group>L1_Format</group>
      <groupName>格式问题</groupName>
      <ability>L2_HalfPunc_CN</ability>
      <abilityName>全半角问题</abilityName>
      <candidateList>
        <item>）</item>
      </candidateList>
      <explain>文本全半角错误。</explain>
      <paraID>6DC8A4F7</paraID>
      <start>27</start>
      <end>28</end>
      <status>unmodified</status>
      <modifiedWord/>
      <trackRevisions>false</trackRevisions>
    </reviewItem>
    <reviewItem>
      <errorID>cefb30a8-ced8-457e-b8c4-e0f466632610</errorID>
      <errorWord>提供</errorWord>
      <group>L1_Word</group>
      <groupName>字词问题</groupName>
      <ability>L2_Typo</ability>
      <abilityName>字词错误</abilityName>
      <candidateList>
        <item>中提供</item>
      </candidateList>
      <explain/>
      <paraID>6DC8A4F7</paraID>
      <start>64</start>
      <end>66</end>
      <status>unmodified</status>
      <modifiedWord/>
      <trackRevisions>false</trackRevisions>
    </reviewItem>
    <reviewItem>
      <errorID>0947a7f7-a389-42b7-a978-fda20d48c155</errorID>
      <errorWord>（</errorWord>
      <group>L1_Punc</group>
      <groupName>标点问题</groupName>
      <ability>L2_Punc_CN</ability>
      <abilityName>标点符号问题</abilityName>
      <candidateList/>
      <explain>同一形式括号套用。</explain>
      <paraID>6DC8A4F7</paraID>
      <start>74</start>
      <end>75</end>
      <status>unmodified</status>
      <modifiedWord/>
      <trackRevisions>false</trackRevisions>
    </reviewItem>
    <reviewItem>
      <errorID>7e6aca27-41fc-4e75-bee1-0095eb237316</errorID>
      <errorWord>）</errorWord>
      <group>L1_Punc</group>
      <groupName>标点问题</groupName>
      <ability>L2_Punc_CN</ability>
      <abilityName>标点符号问题</abilityName>
      <candidateList/>
      <explain>同一形式括号套用。</explain>
      <paraID>6DC8A4F7</paraID>
      <start>77</start>
      <end>78</end>
      <status>unmodified</status>
      <modifiedWord/>
      <trackRevisions>false</trackRevisions>
    </reviewItem>
    <reviewItem>
      <errorID>d0ffb7d8-0e1a-4b2c-87a7-5d85aae66480</errorID>
      <errorWord>、 </errorWord>
      <group>L1_Punc</group>
      <groupName>标点问题</groupName>
      <ability>L2_Punc_CN</ability>
      <abilityName>标点符号问题</abilityName>
      <candidateList>
        <item>；</item>
      </candidateList>
      <explain/>
      <paraID>2406C337</paraID>
      <start>51</start>
      <end>53</end>
      <status>unmodified</status>
      <modifiedWord/>
      <trackRevisions>false</trackRevisions>
    </reviewItem>
    <reviewItem>
      <errorID>491fb333-c5d8-4f34-a68e-1c6861089aa0</errorID>
      <errorWord>、</errorWord>
      <group>L1_Punc</group>
      <groupName>标点问题</groupName>
      <ability>L2_Punc_CN</ability>
      <abilityName>标点符号问题</abilityName>
      <candidateList>
        <item>；</item>
      </candidateList>
      <explain/>
      <paraID>2406C337</paraID>
      <start>70</start>
      <end>71</end>
      <status>unmodified</status>
      <modifiedWord/>
      <trackRevisions>false</trackRevisions>
    </reviewItem>
  </reviewItems>
  <config/>
</contractReview>
</file>

<file path=customXml/itemProps1.xml><?xml version="1.0" encoding="utf-8"?>
<ds:datastoreItem xmlns:ds="http://schemas.openxmlformats.org/officeDocument/2006/customXml" ds:itemID="{3b6b2d94-39b7-4e56-b749-8a3033f77912}">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3865</Words>
  <Characters>3987</Characters>
  <Lines>0</Lines>
  <Paragraphs>0</Paragraphs>
  <TotalTime>6</TotalTime>
  <ScaleCrop>false</ScaleCrop>
  <LinksUpToDate>false</LinksUpToDate>
  <CharactersWithSpaces>3993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2026-07-17T02:36:00Z</dcterms:created>
  <dc:creator>Administrator</dc:creator>
  <cp:lastModifiedBy>秋秋</cp:lastModifiedBy>
  <dcterms:modified xsi:type="dcterms:W3CDTF">2026-08-04T10:15:16Z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eyJoZGlkIjoiY2Q2MjU2MzMxMTIyNzIyYTQyZjg1OTZhMmRkYzhlY2QiLCJ1c2VySWQiOiI0MTcxNjY3MTMifQ==</vt:lpwstr>
  </property>
  <property fmtid="{D5CDD505-2E9C-101B-9397-08002B2CF9AE}" pid="4" name="ICV">
    <vt:lpwstr>F3916FD004314C1D92AB6B4EBA5EC260_13</vt:lpwstr>
  </property>
</Properties>
</file>