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A563A">
      <w:pPr>
        <w:pStyle w:val="18"/>
        <w:adjustRightInd w:val="0"/>
        <w:snapToGrid w:val="0"/>
        <w:spacing w:after="581" w:afterLines="100"/>
        <w:rPr>
          <w:rFonts w:hint="default" w:eastAsia="方正小标宋简体"/>
          <w:color w:val="000000"/>
          <w:lang w:val="en-US" w:eastAsia="zh-CN"/>
        </w:rPr>
      </w:pPr>
      <w:r>
        <w:rPr>
          <w:rFonts w:hint="eastAsia"/>
          <w:color w:val="000000"/>
        </w:rPr>
        <w:t>医院三级等保测评</w:t>
      </w:r>
      <w:r>
        <w:rPr>
          <w:rFonts w:hint="eastAsia"/>
          <w:color w:val="000000"/>
          <w:lang w:val="en-US" w:eastAsia="zh-CN"/>
        </w:rPr>
        <w:t>服务</w:t>
      </w:r>
      <w:r>
        <w:rPr>
          <w:rFonts w:hint="eastAsia"/>
          <w:color w:val="000000"/>
        </w:rPr>
        <w:t>参数</w:t>
      </w:r>
      <w:r>
        <w:rPr>
          <w:rFonts w:hint="eastAsia"/>
          <w:color w:val="000000"/>
          <w:lang w:val="en-US" w:eastAsia="zh-CN"/>
        </w:rPr>
        <w:t>需求与评分办法</w:t>
      </w:r>
    </w:p>
    <w:p w14:paraId="7D0BB16D">
      <w:pPr>
        <w:numPr>
          <w:ilvl w:val="0"/>
          <w:numId w:val="0"/>
        </w:numPr>
        <w:adjustRightInd w:val="0"/>
        <w:snapToGrid w:val="0"/>
        <w:spacing w:line="520" w:lineRule="exact"/>
        <w:ind w:left="0" w:leftChars="0" w:firstLine="482" w:firstLineChars="200"/>
        <w:rPr>
          <w:rFonts w:hint="eastAsia" w:ascii="宋体" w:hAnsi="宋体" w:cs="宋体"/>
          <w:b/>
          <w:bCs/>
          <w:color w:val="000000"/>
          <w:sz w:val="24"/>
        </w:rPr>
      </w:pPr>
      <w:r>
        <w:rPr>
          <w:rFonts w:hint="eastAsia" w:ascii="宋体" w:hAnsi="宋体" w:eastAsia="宋体" w:cs="宋体"/>
          <w:b/>
          <w:bCs/>
          <w:color w:val="000000"/>
          <w:kern w:val="2"/>
          <w:sz w:val="24"/>
          <w:szCs w:val="24"/>
          <w:lang w:val="en-US" w:eastAsia="zh-CN" w:bidi="ar-SA"/>
        </w:rPr>
        <w:t>一、</w:t>
      </w:r>
      <w:r>
        <w:rPr>
          <w:rFonts w:hint="eastAsia" w:ascii="宋体" w:hAnsi="宋体" w:cs="宋体"/>
          <w:b/>
          <w:bCs/>
          <w:color w:val="000000"/>
          <w:sz w:val="24"/>
        </w:rPr>
        <w:t>项目概况</w:t>
      </w:r>
    </w:p>
    <w:p w14:paraId="222BD8C4">
      <w:pPr>
        <w:numPr>
          <w:ilvl w:val="0"/>
          <w:numId w:val="0"/>
        </w:numPr>
        <w:adjustRightInd w:val="0"/>
        <w:snapToGrid w:val="0"/>
        <w:spacing w:line="520" w:lineRule="exact"/>
        <w:ind w:leftChars="200" w:firstLine="0" w:firstLineChars="0"/>
        <w:rPr>
          <w:rFonts w:hint="eastAsia" w:ascii="宋体" w:hAnsi="宋体" w:cs="宋体"/>
          <w:color w:val="000000"/>
          <w:sz w:val="24"/>
        </w:rPr>
      </w:pPr>
      <w:r>
        <w:rPr>
          <w:rFonts w:hint="eastAsia" w:ascii="宋体" w:hAnsi="宋体" w:cs="宋体"/>
          <w:color w:val="000000"/>
          <w:sz w:val="24"/>
          <w:lang w:eastAsia="zh-CN"/>
        </w:rPr>
        <w:t>（</w:t>
      </w:r>
      <w:r>
        <w:rPr>
          <w:rFonts w:hint="eastAsia" w:ascii="宋体" w:hAnsi="宋体" w:cs="宋体"/>
          <w:color w:val="000000"/>
          <w:sz w:val="24"/>
          <w:lang w:val="en-US" w:eastAsia="zh-CN"/>
        </w:rPr>
        <w:t>一</w:t>
      </w:r>
      <w:r>
        <w:rPr>
          <w:rFonts w:hint="eastAsia" w:ascii="宋体" w:hAnsi="宋体" w:cs="宋体"/>
          <w:color w:val="000000"/>
          <w:sz w:val="24"/>
          <w:lang w:eastAsia="zh-CN"/>
        </w:rPr>
        <w:t>）</w:t>
      </w:r>
      <w:r>
        <w:rPr>
          <w:rFonts w:hint="eastAsia" w:ascii="宋体" w:hAnsi="宋体" w:cs="宋体"/>
          <w:color w:val="000000"/>
          <w:sz w:val="24"/>
        </w:rPr>
        <w:t>采购单位：</w:t>
      </w:r>
      <w:bookmarkStart w:id="0" w:name="OLE_LINK21"/>
      <w:r>
        <w:rPr>
          <w:rFonts w:hint="eastAsia" w:ascii="宋体" w:hAnsi="宋体" w:cs="宋体"/>
          <w:color w:val="000000"/>
          <w:sz w:val="24"/>
        </w:rPr>
        <w:t>中山大学附属第一医院广西医院</w:t>
      </w:r>
      <w:bookmarkEnd w:id="0"/>
    </w:p>
    <w:p w14:paraId="641EEBFD">
      <w:pPr>
        <w:numPr>
          <w:ilvl w:val="0"/>
          <w:numId w:val="0"/>
        </w:numPr>
        <w:adjustRightInd w:val="0"/>
        <w:snapToGrid w:val="0"/>
        <w:spacing w:line="520" w:lineRule="exact"/>
        <w:ind w:leftChars="200" w:firstLine="0" w:firstLineChars="0"/>
        <w:rPr>
          <w:rFonts w:hint="eastAsia" w:ascii="宋体" w:hAnsi="宋体" w:eastAsia="仿宋_GB2312" w:cs="宋体"/>
          <w:color w:val="000000"/>
          <w:sz w:val="24"/>
        </w:rPr>
      </w:pPr>
      <w:r>
        <w:rPr>
          <w:rFonts w:hint="eastAsia" w:ascii="宋体" w:hAnsi="宋体" w:cs="宋体"/>
          <w:color w:val="000000"/>
          <w:sz w:val="24"/>
          <w:lang w:eastAsia="zh-CN"/>
        </w:rPr>
        <w:t>（</w:t>
      </w:r>
      <w:r>
        <w:rPr>
          <w:rFonts w:hint="eastAsia" w:ascii="宋体" w:hAnsi="宋体" w:cs="宋体"/>
          <w:color w:val="000000"/>
          <w:sz w:val="24"/>
          <w:lang w:val="en-US" w:eastAsia="zh-CN"/>
        </w:rPr>
        <w:t>二</w:t>
      </w:r>
      <w:r>
        <w:rPr>
          <w:rFonts w:hint="eastAsia" w:ascii="宋体" w:hAnsi="宋体" w:cs="宋体"/>
          <w:color w:val="000000"/>
          <w:sz w:val="24"/>
          <w:lang w:eastAsia="zh-CN"/>
        </w:rPr>
        <w:t>）</w:t>
      </w:r>
      <w:r>
        <w:rPr>
          <w:rFonts w:hint="eastAsia" w:ascii="宋体" w:hAnsi="宋体" w:cs="宋体"/>
          <w:color w:val="000000"/>
          <w:sz w:val="24"/>
        </w:rPr>
        <w:t>项目名称：医院三级等保测评服务</w:t>
      </w:r>
      <w:bookmarkStart w:id="3" w:name="_GoBack"/>
      <w:bookmarkEnd w:id="3"/>
    </w:p>
    <w:p w14:paraId="35F81C58">
      <w:pPr>
        <w:numPr>
          <w:ilvl w:val="0"/>
          <w:numId w:val="0"/>
        </w:numPr>
        <w:adjustRightInd w:val="0"/>
        <w:snapToGrid w:val="0"/>
        <w:spacing w:line="520" w:lineRule="exact"/>
        <w:ind w:leftChars="200" w:firstLine="0" w:firstLineChars="0"/>
        <w:rPr>
          <w:rFonts w:hint="eastAsia" w:ascii="宋体" w:hAnsi="宋体" w:cs="宋体"/>
          <w:color w:val="000000"/>
          <w:sz w:val="24"/>
        </w:rPr>
      </w:pPr>
      <w:r>
        <w:rPr>
          <w:rFonts w:hint="eastAsia" w:ascii="宋体" w:hAnsi="宋体" w:cs="宋体"/>
          <w:color w:val="000000"/>
          <w:sz w:val="24"/>
          <w:lang w:eastAsia="zh-CN"/>
        </w:rPr>
        <w:t>（</w:t>
      </w:r>
      <w:r>
        <w:rPr>
          <w:rFonts w:hint="eastAsia" w:ascii="宋体" w:hAnsi="宋体" w:cs="宋体"/>
          <w:color w:val="000000"/>
          <w:sz w:val="24"/>
          <w:lang w:val="en-US" w:eastAsia="zh-CN"/>
        </w:rPr>
        <w:t>三</w:t>
      </w:r>
      <w:r>
        <w:rPr>
          <w:rFonts w:hint="eastAsia" w:ascii="宋体" w:hAnsi="宋体" w:cs="宋体"/>
          <w:color w:val="000000"/>
          <w:sz w:val="24"/>
          <w:lang w:eastAsia="zh-CN"/>
        </w:rPr>
        <w:t>）</w:t>
      </w:r>
      <w:r>
        <w:rPr>
          <w:rFonts w:hint="eastAsia" w:ascii="宋体" w:hAnsi="宋体" w:cs="宋体"/>
          <w:color w:val="000000"/>
          <w:sz w:val="24"/>
        </w:rPr>
        <w:t>项目地点：广西壮族自治区南宁市青秀区佛子岭路3号</w:t>
      </w:r>
    </w:p>
    <w:p w14:paraId="758F8873">
      <w:pPr>
        <w:numPr>
          <w:ilvl w:val="0"/>
          <w:numId w:val="0"/>
        </w:numPr>
        <w:adjustRightInd w:val="0"/>
        <w:snapToGrid w:val="0"/>
        <w:spacing w:line="520" w:lineRule="exact"/>
        <w:ind w:leftChars="200" w:firstLine="0" w:firstLineChars="0"/>
        <w:rPr>
          <w:rFonts w:hint="eastAsia" w:ascii="宋体" w:hAnsi="宋体" w:eastAsia="仿宋_GB2312" w:cs="宋体"/>
          <w:color w:val="000000"/>
          <w:sz w:val="24"/>
          <w:lang w:val="en-US" w:eastAsia="zh-CN"/>
        </w:rPr>
      </w:pPr>
      <w:r>
        <w:rPr>
          <w:rFonts w:hint="eastAsia" w:ascii="宋体" w:hAnsi="宋体" w:cs="宋体"/>
          <w:color w:val="000000"/>
          <w:sz w:val="24"/>
          <w:lang w:eastAsia="zh-CN"/>
        </w:rPr>
        <w:t>（</w:t>
      </w:r>
      <w:r>
        <w:rPr>
          <w:rFonts w:hint="eastAsia" w:ascii="宋体" w:hAnsi="宋体" w:cs="宋体"/>
          <w:color w:val="000000"/>
          <w:sz w:val="24"/>
          <w:lang w:val="en-US" w:eastAsia="zh-CN"/>
        </w:rPr>
        <w:t>四</w:t>
      </w:r>
      <w:r>
        <w:rPr>
          <w:rFonts w:hint="eastAsia" w:ascii="宋体" w:hAnsi="宋体" w:cs="宋体"/>
          <w:color w:val="000000"/>
          <w:sz w:val="24"/>
          <w:lang w:eastAsia="zh-CN"/>
        </w:rPr>
        <w:t>）</w:t>
      </w:r>
      <w:r>
        <w:rPr>
          <w:rFonts w:hint="eastAsia" w:ascii="宋体" w:hAnsi="宋体" w:cs="宋体"/>
          <w:color w:val="000000"/>
          <w:sz w:val="24"/>
        </w:rPr>
        <w:t>采购预算：</w:t>
      </w:r>
      <w:r>
        <w:rPr>
          <w:rFonts w:hint="eastAsia" w:ascii="宋体" w:hAnsi="宋体" w:cs="宋体"/>
          <w:color w:val="000000"/>
          <w:sz w:val="24"/>
          <w:lang w:val="en-US" w:eastAsia="zh-CN"/>
        </w:rPr>
        <w:t>25.2</w:t>
      </w:r>
      <w:r>
        <w:rPr>
          <w:rFonts w:hint="eastAsia" w:ascii="宋体" w:hAnsi="宋体" w:cs="宋体"/>
          <w:color w:val="000000"/>
          <w:sz w:val="24"/>
        </w:rPr>
        <w:t>万</w:t>
      </w:r>
      <w:r>
        <w:rPr>
          <w:rFonts w:hint="eastAsia" w:ascii="宋体" w:hAnsi="宋体" w:cs="宋体"/>
          <w:color w:val="000000"/>
          <w:sz w:val="24"/>
          <w:lang w:val="en-US" w:eastAsia="zh-CN"/>
        </w:rPr>
        <w:t>元</w:t>
      </w:r>
    </w:p>
    <w:p w14:paraId="4B42A2A8">
      <w:pPr>
        <w:numPr>
          <w:ilvl w:val="0"/>
          <w:numId w:val="0"/>
        </w:numPr>
        <w:adjustRightInd w:val="0"/>
        <w:snapToGrid w:val="0"/>
        <w:spacing w:line="520" w:lineRule="exact"/>
        <w:ind w:leftChars="200" w:firstLine="0" w:firstLineChars="0"/>
        <w:rPr>
          <w:rFonts w:hint="eastAsia" w:ascii="宋体" w:hAnsi="宋体" w:cs="宋体"/>
          <w:color w:val="000000"/>
          <w:sz w:val="24"/>
        </w:rPr>
      </w:pPr>
      <w:r>
        <w:rPr>
          <w:rFonts w:hint="eastAsia" w:ascii="宋体" w:hAnsi="宋体" w:cs="宋体"/>
          <w:color w:val="000000"/>
          <w:sz w:val="24"/>
          <w:lang w:eastAsia="zh-CN"/>
        </w:rPr>
        <w:t>（</w:t>
      </w:r>
      <w:r>
        <w:rPr>
          <w:rFonts w:hint="eastAsia" w:ascii="宋体" w:hAnsi="宋体" w:cs="宋体"/>
          <w:color w:val="000000"/>
          <w:sz w:val="24"/>
          <w:lang w:val="en-US" w:eastAsia="zh-CN"/>
        </w:rPr>
        <w:t>五</w:t>
      </w:r>
      <w:r>
        <w:rPr>
          <w:rFonts w:hint="eastAsia" w:ascii="宋体" w:hAnsi="宋体" w:cs="宋体"/>
          <w:color w:val="000000"/>
          <w:sz w:val="24"/>
          <w:lang w:eastAsia="zh-CN"/>
        </w:rPr>
        <w:t>）</w:t>
      </w:r>
      <w:r>
        <w:rPr>
          <w:rFonts w:hint="eastAsia" w:ascii="宋体" w:hAnsi="宋体" w:cs="宋体"/>
          <w:color w:val="000000"/>
          <w:sz w:val="24"/>
        </w:rPr>
        <w:t>采购方式：</w:t>
      </w:r>
      <w:r>
        <w:rPr>
          <w:rFonts w:hint="eastAsia" w:ascii="宋体" w:hAnsi="宋体" w:cs="宋体"/>
          <w:color w:val="000000"/>
          <w:sz w:val="24"/>
          <w:lang w:val="en-US" w:eastAsia="zh-CN"/>
        </w:rPr>
        <w:t>建议</w:t>
      </w:r>
      <w:r>
        <w:rPr>
          <w:rFonts w:hint="eastAsia" w:ascii="宋体" w:hAnsi="宋体" w:cs="宋体"/>
          <w:color w:val="000000"/>
          <w:sz w:val="24"/>
        </w:rPr>
        <w:t>以</w:t>
      </w:r>
      <w:r>
        <w:rPr>
          <w:rFonts w:hint="eastAsia" w:ascii="宋体" w:hAnsi="宋体" w:cs="宋体"/>
          <w:color w:val="000000"/>
          <w:sz w:val="24"/>
          <w:lang w:val="en-US" w:eastAsia="zh-CN"/>
        </w:rPr>
        <w:t>院内</w:t>
      </w:r>
      <w:r>
        <w:rPr>
          <w:rFonts w:hint="eastAsia" w:ascii="宋体" w:hAnsi="宋体" w:cs="宋体"/>
          <w:color w:val="000000"/>
          <w:sz w:val="24"/>
        </w:rPr>
        <w:t>竞争性磋商方式</w:t>
      </w:r>
      <w:r>
        <w:rPr>
          <w:rFonts w:hint="eastAsia" w:ascii="宋体" w:hAnsi="宋体" w:cs="宋体"/>
          <w:color w:val="000000"/>
          <w:sz w:val="24"/>
          <w:lang w:val="en-US" w:eastAsia="zh-CN"/>
        </w:rPr>
        <w:t>采购</w:t>
      </w:r>
    </w:p>
    <w:p w14:paraId="1B1002CD">
      <w:pPr>
        <w:numPr>
          <w:ilvl w:val="0"/>
          <w:numId w:val="0"/>
        </w:numPr>
        <w:adjustRightInd w:val="0"/>
        <w:snapToGrid w:val="0"/>
        <w:spacing w:line="520" w:lineRule="exact"/>
        <w:ind w:left="0" w:leftChars="0" w:firstLine="482" w:firstLineChars="200"/>
        <w:rPr>
          <w:rFonts w:hint="eastAsia" w:ascii="宋体" w:hAnsi="宋体" w:cs="宋体"/>
          <w:b/>
          <w:bCs/>
          <w:color w:val="000000"/>
          <w:sz w:val="24"/>
        </w:rPr>
      </w:pPr>
      <w:r>
        <w:rPr>
          <w:rFonts w:hint="eastAsia" w:ascii="宋体" w:hAnsi="宋体" w:eastAsia="宋体" w:cs="宋体"/>
          <w:b/>
          <w:bCs/>
          <w:color w:val="000000"/>
          <w:kern w:val="2"/>
          <w:sz w:val="24"/>
          <w:szCs w:val="24"/>
          <w:lang w:val="en-US" w:eastAsia="zh-CN" w:bidi="ar-SA"/>
        </w:rPr>
        <w:t>二、</w:t>
      </w:r>
      <w:r>
        <w:rPr>
          <w:rFonts w:hint="eastAsia" w:ascii="宋体" w:hAnsi="宋体" w:cs="宋体"/>
          <w:b/>
          <w:bCs/>
          <w:color w:val="000000"/>
          <w:sz w:val="24"/>
        </w:rPr>
        <w:t>资质要求</w:t>
      </w:r>
    </w:p>
    <w:p w14:paraId="31025A22">
      <w:pPr>
        <w:numPr>
          <w:ilvl w:val="0"/>
          <w:numId w:val="0"/>
        </w:numPr>
        <w:adjustRightInd w:val="0"/>
        <w:snapToGrid w:val="0"/>
        <w:spacing w:line="520" w:lineRule="exact"/>
        <w:ind w:leftChars="200" w:firstLine="0" w:firstLineChars="0"/>
        <w:rPr>
          <w:rFonts w:hint="eastAsia" w:ascii="宋体" w:hAnsi="宋体" w:cs="宋体"/>
          <w:color w:val="000000"/>
          <w:sz w:val="24"/>
        </w:rPr>
      </w:pPr>
      <w:r>
        <w:rPr>
          <w:rFonts w:hint="eastAsia" w:ascii="宋体" w:hAnsi="宋体" w:cs="宋体"/>
          <w:color w:val="000000"/>
          <w:sz w:val="24"/>
          <w:lang w:eastAsia="zh-CN"/>
        </w:rPr>
        <w:t>（</w:t>
      </w:r>
      <w:r>
        <w:rPr>
          <w:rFonts w:hint="eastAsia" w:ascii="宋体" w:hAnsi="宋体" w:cs="宋体"/>
          <w:color w:val="000000"/>
          <w:sz w:val="24"/>
          <w:lang w:val="en-US" w:eastAsia="zh-CN"/>
        </w:rPr>
        <w:t>一</w:t>
      </w:r>
      <w:r>
        <w:rPr>
          <w:rFonts w:hint="eastAsia" w:ascii="宋体" w:hAnsi="宋体" w:cs="宋体"/>
          <w:color w:val="000000"/>
          <w:sz w:val="24"/>
          <w:lang w:eastAsia="zh-CN"/>
        </w:rPr>
        <w:t>）</w:t>
      </w:r>
      <w:r>
        <w:rPr>
          <w:rFonts w:hint="eastAsia" w:ascii="宋体" w:hAnsi="宋体" w:cs="宋体"/>
          <w:color w:val="000000"/>
          <w:sz w:val="24"/>
        </w:rPr>
        <w:t>具有国内独立法人资格，注册经营范围满足本项目内容的供应商。</w:t>
      </w:r>
    </w:p>
    <w:p w14:paraId="53A18FD9">
      <w:pPr>
        <w:numPr>
          <w:ilvl w:val="0"/>
          <w:numId w:val="0"/>
        </w:numPr>
        <w:adjustRightInd w:val="0"/>
        <w:snapToGrid w:val="0"/>
        <w:spacing w:line="520" w:lineRule="exact"/>
        <w:ind w:left="480" w:leftChars="200" w:firstLine="0" w:firstLineChars="0"/>
        <w:rPr>
          <w:rFonts w:hint="eastAsia" w:ascii="宋体" w:hAnsi="宋体" w:cs="宋体"/>
          <w:color w:val="000000"/>
          <w:sz w:val="24"/>
        </w:rPr>
      </w:pPr>
      <w:r>
        <w:rPr>
          <w:rFonts w:hint="eastAsia" w:ascii="宋体" w:hAnsi="宋体" w:cs="宋体"/>
          <w:color w:val="000000"/>
          <w:sz w:val="24"/>
        </w:rPr>
        <w:t>（二）本项目不接受联合体报名。</w:t>
      </w:r>
    </w:p>
    <w:p w14:paraId="3D718FE0">
      <w:pPr>
        <w:numPr>
          <w:ilvl w:val="0"/>
          <w:numId w:val="0"/>
        </w:numPr>
        <w:adjustRightInd w:val="0"/>
        <w:snapToGrid w:val="0"/>
        <w:spacing w:line="520" w:lineRule="exact"/>
        <w:ind w:left="0" w:leftChars="0" w:firstLine="482" w:firstLineChars="200"/>
        <w:rPr>
          <w:rFonts w:hint="eastAsia" w:ascii="宋体" w:hAnsi="宋体" w:cs="宋体"/>
          <w:b/>
          <w:bCs/>
          <w:color w:val="000000"/>
          <w:sz w:val="24"/>
        </w:rPr>
      </w:pPr>
      <w:r>
        <w:rPr>
          <w:rFonts w:hint="eastAsia" w:ascii="宋体" w:hAnsi="宋体" w:eastAsia="宋体" w:cs="宋体"/>
          <w:b/>
          <w:bCs/>
          <w:color w:val="000000"/>
          <w:kern w:val="2"/>
          <w:sz w:val="24"/>
          <w:szCs w:val="24"/>
          <w:lang w:val="en-US" w:eastAsia="zh-CN" w:bidi="ar-SA"/>
        </w:rPr>
        <w:t>三、</w:t>
      </w:r>
      <w:r>
        <w:rPr>
          <w:rFonts w:hint="eastAsia" w:ascii="宋体" w:hAnsi="宋体" w:cs="宋体"/>
          <w:b/>
          <w:bCs/>
          <w:color w:val="000000"/>
          <w:sz w:val="24"/>
        </w:rPr>
        <w:t>参数需求</w:t>
      </w:r>
    </w:p>
    <w:p w14:paraId="21C59917">
      <w:pPr>
        <w:numPr>
          <w:ilvl w:val="0"/>
          <w:numId w:val="0"/>
        </w:numPr>
        <w:adjustRightInd w:val="0"/>
        <w:snapToGrid w:val="0"/>
        <w:spacing w:line="520" w:lineRule="exact"/>
        <w:ind w:leftChars="0" w:firstLine="480" w:firstLineChars="200"/>
        <w:rPr>
          <w:rFonts w:hint="eastAsia" w:cs="宋体"/>
          <w:b/>
          <w:bCs/>
          <w:color w:val="auto"/>
          <w:sz w:val="28"/>
          <w:szCs w:val="28"/>
          <w:lang w:val="en-US" w:eastAsia="zh-CN"/>
        </w:rPr>
      </w:pPr>
      <w:r>
        <w:rPr>
          <w:rFonts w:hint="eastAsia" w:ascii="宋体" w:hAnsi="宋体" w:cs="宋体"/>
          <w:color w:val="000000"/>
          <w:sz w:val="24"/>
        </w:rPr>
        <w:t>带“</w:t>
      </w:r>
      <w:bookmarkStart w:id="1" w:name="OLE_LINK2"/>
      <w:bookmarkStart w:id="2" w:name="OLE_LINK1"/>
      <w:r>
        <w:rPr>
          <w:rFonts w:hint="eastAsia" w:ascii="宋体" w:hAnsi="宋体" w:cs="宋体"/>
          <w:color w:val="000000"/>
          <w:sz w:val="24"/>
        </w:rPr>
        <w:t>▲</w:t>
      </w:r>
      <w:bookmarkEnd w:id="1"/>
      <w:bookmarkEnd w:id="2"/>
      <w:r>
        <w:rPr>
          <w:rFonts w:hint="eastAsia" w:ascii="宋体" w:hAnsi="宋体" w:cs="宋体"/>
          <w:color w:val="000000"/>
          <w:sz w:val="24"/>
        </w:rPr>
        <w:t>”号的参数内容为实质性要求和条件，是必须满足的参数，否则被视为无效投标。</w:t>
      </w:r>
    </w:p>
    <w:p w14:paraId="7B10FD35">
      <w:pPr>
        <w:numPr>
          <w:ilvl w:val="0"/>
          <w:numId w:val="0"/>
        </w:numPr>
        <w:adjustRightInd w:val="0"/>
        <w:snapToGrid w:val="0"/>
        <w:spacing w:line="520" w:lineRule="exact"/>
        <w:ind w:left="0" w:leftChars="0" w:firstLine="482" w:firstLineChars="200"/>
        <w:rPr>
          <w:rFonts w:hint="default" w:ascii="宋体" w:hAnsi="宋体" w:eastAsia="宋体" w:cs="宋体"/>
          <w:b/>
          <w:bCs/>
          <w:color w:val="000000"/>
          <w:sz w:val="24"/>
          <w:lang w:val="en-US" w:eastAsia="zh-CN"/>
        </w:rPr>
      </w:pPr>
      <w:r>
        <w:rPr>
          <w:rFonts w:hint="eastAsia" w:ascii="宋体" w:hAnsi="宋体" w:eastAsia="宋体" w:cs="宋体"/>
          <w:b/>
          <w:bCs/>
          <w:color w:val="000000"/>
          <w:sz w:val="24"/>
          <w:lang w:val="en-US" w:eastAsia="zh-CN"/>
        </w:rPr>
        <w:t>（一）服务需求</w:t>
      </w:r>
    </w:p>
    <w:tbl>
      <w:tblPr>
        <w:tblStyle w:val="20"/>
        <w:tblW w:w="88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615"/>
        <w:gridCol w:w="615"/>
        <w:gridCol w:w="6803"/>
      </w:tblGrid>
      <w:tr w14:paraId="73C1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blHeader/>
          <w:jc w:val="center"/>
        </w:trPr>
        <w:tc>
          <w:tcPr>
            <w:tcW w:w="773" w:type="dxa"/>
            <w:shd w:val="clear" w:color="auto" w:fill="F1F1F1"/>
            <w:noWrap w:val="0"/>
            <w:vAlign w:val="center"/>
          </w:tcPr>
          <w:p w14:paraId="53BF0E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rPr>
            </w:pPr>
            <w:r>
              <w:rPr>
                <w:rFonts w:hint="default" w:ascii="宋体" w:hAnsi="宋体" w:eastAsia="宋体" w:cs="宋体"/>
                <w:b/>
                <w:bCs/>
                <w:color w:val="auto"/>
                <w:sz w:val="24"/>
                <w:szCs w:val="24"/>
                <w:lang w:val="en-US"/>
              </w:rPr>
              <w:t>服务</w:t>
            </w:r>
            <w:r>
              <w:rPr>
                <w:rFonts w:hint="eastAsia" w:ascii="宋体" w:hAnsi="宋体" w:eastAsia="宋体" w:cs="宋体"/>
                <w:b/>
                <w:bCs/>
                <w:color w:val="auto"/>
                <w:sz w:val="24"/>
                <w:szCs w:val="24"/>
              </w:rPr>
              <w:t>名称</w:t>
            </w:r>
          </w:p>
        </w:tc>
        <w:tc>
          <w:tcPr>
            <w:tcW w:w="615" w:type="dxa"/>
            <w:shd w:val="clear" w:color="auto" w:fill="F1F1F1"/>
            <w:noWrap w:val="0"/>
            <w:vAlign w:val="center"/>
          </w:tcPr>
          <w:p w14:paraId="11C44F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数量</w:t>
            </w:r>
          </w:p>
        </w:tc>
        <w:tc>
          <w:tcPr>
            <w:tcW w:w="615" w:type="dxa"/>
            <w:shd w:val="clear" w:color="auto" w:fill="F1F1F1"/>
            <w:noWrap w:val="0"/>
            <w:vAlign w:val="center"/>
          </w:tcPr>
          <w:p w14:paraId="0AD797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单位</w:t>
            </w:r>
          </w:p>
        </w:tc>
        <w:tc>
          <w:tcPr>
            <w:tcW w:w="6803" w:type="dxa"/>
            <w:shd w:val="clear" w:color="auto" w:fill="F1F1F1"/>
            <w:noWrap w:val="0"/>
            <w:vAlign w:val="center"/>
          </w:tcPr>
          <w:p w14:paraId="63C939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24"/>
                <w:szCs w:val="24"/>
                <w:lang w:val="en-US" w:eastAsia="zh-CN"/>
              </w:rPr>
            </w:pPr>
            <w:r>
              <w:rPr>
                <w:rFonts w:hint="eastAsia" w:ascii="宋体" w:hAnsi="宋体"/>
                <w:b/>
                <w:bCs/>
                <w:szCs w:val="24"/>
              </w:rPr>
              <w:t>服务需求</w:t>
            </w:r>
            <w:r>
              <w:rPr>
                <w:rFonts w:hint="eastAsia"/>
                <w:b/>
                <w:bCs/>
                <w:szCs w:val="24"/>
                <w:lang w:val="en-US" w:eastAsia="zh-CN"/>
              </w:rPr>
              <w:t>描述</w:t>
            </w:r>
          </w:p>
        </w:tc>
      </w:tr>
      <w:tr w14:paraId="57CBB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3" w:type="dxa"/>
            <w:noWrap w:val="0"/>
            <w:vAlign w:val="center"/>
          </w:tcPr>
          <w:p w14:paraId="763A449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4"/>
                <w:szCs w:val="24"/>
                <w:lang w:val="en-US" w:eastAsia="zh-CN"/>
              </w:rPr>
            </w:pPr>
            <w:r>
              <w:rPr>
                <w:rFonts w:hint="eastAsia" w:eastAsia="宋体"/>
                <w:color w:val="000000"/>
                <w:lang w:val="en-US" w:eastAsia="zh-CN"/>
              </w:rPr>
              <w:t>网络安全等级保护测评服务</w:t>
            </w:r>
          </w:p>
        </w:tc>
        <w:tc>
          <w:tcPr>
            <w:tcW w:w="615" w:type="dxa"/>
            <w:noWrap w:val="0"/>
            <w:vAlign w:val="center"/>
          </w:tcPr>
          <w:p w14:paraId="241153E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615" w:type="dxa"/>
            <w:noWrap w:val="0"/>
            <w:vAlign w:val="center"/>
          </w:tcPr>
          <w:p w14:paraId="7D3F34D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w:t>
            </w:r>
          </w:p>
        </w:tc>
        <w:tc>
          <w:tcPr>
            <w:tcW w:w="6803" w:type="dxa"/>
            <w:noWrap w:val="0"/>
            <w:vAlign w:val="center"/>
          </w:tcPr>
          <w:p w14:paraId="52CFF2DB">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240" w:firstLineChars="100"/>
              <w:jc w:val="both"/>
              <w:textAlignment w:val="auto"/>
              <w:outlineLvl w:val="9"/>
              <w:rPr>
                <w:rFonts w:hint="eastAsia" w:ascii="宋体" w:hAnsi="宋体" w:eastAsia="宋体" w:cs="宋体"/>
                <w:b/>
                <w:bCs/>
                <w:color w:val="auto"/>
                <w:lang w:val="en-US" w:eastAsia="zh-CN"/>
              </w:rPr>
            </w:pPr>
            <w:r>
              <w:rPr>
                <w:rFonts w:hint="eastAsia" w:ascii="宋体" w:hAnsi="宋体" w:eastAsia="宋体" w:cs="宋体"/>
                <w:color w:val="auto"/>
                <w:sz w:val="24"/>
                <w:szCs w:val="24"/>
                <w:lang w:val="en-US" w:eastAsia="zh-CN"/>
              </w:rPr>
              <w:t>▲</w:t>
            </w:r>
            <w:r>
              <w:rPr>
                <w:rFonts w:hint="eastAsia"/>
                <w:lang w:val="en-US" w:eastAsia="zh-CN"/>
              </w:rPr>
              <w:t>一、</w:t>
            </w:r>
            <w:r>
              <w:rPr>
                <w:rFonts w:hint="eastAsia" w:ascii="宋体" w:hAnsi="宋体" w:eastAsia="宋体" w:cs="宋体"/>
                <w:b/>
                <w:bCs/>
                <w:color w:val="auto"/>
                <w:highlight w:val="none"/>
                <w:lang w:val="en-US" w:eastAsia="zh-CN"/>
              </w:rPr>
              <w:t>总体要</w:t>
            </w:r>
            <w:r>
              <w:rPr>
                <w:rFonts w:hint="eastAsia" w:ascii="宋体" w:hAnsi="宋体" w:eastAsia="宋体" w:cs="宋体"/>
                <w:b/>
                <w:bCs/>
                <w:color w:val="auto"/>
                <w:lang w:val="en-US" w:eastAsia="zh-CN"/>
              </w:rPr>
              <w:t>求</w:t>
            </w:r>
          </w:p>
          <w:p w14:paraId="2AE914D9">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0" w:firstLineChars="200"/>
              <w:jc w:val="both"/>
              <w:textAlignment w:val="auto"/>
              <w:outlineLvl w:val="9"/>
              <w:rPr>
                <w:rFonts w:hint="eastAsia" w:cs="宋体"/>
                <w:color w:val="auto"/>
                <w:lang w:eastAsia="zh-CN"/>
              </w:rPr>
            </w:pPr>
            <w:r>
              <w:rPr>
                <w:rFonts w:hint="eastAsia" w:cs="宋体"/>
                <w:color w:val="auto"/>
                <w:lang w:val="en-US" w:eastAsia="zh-CN"/>
              </w:rPr>
              <w:t>1.</w:t>
            </w:r>
            <w:r>
              <w:rPr>
                <w:rFonts w:hint="eastAsia" w:ascii="宋体" w:hAnsi="宋体" w:eastAsia="宋体" w:cs="宋体"/>
                <w:color w:val="auto"/>
              </w:rPr>
              <w:t>依据</w:t>
            </w:r>
            <w:r>
              <w:rPr>
                <w:rFonts w:hint="eastAsia" w:ascii="宋体" w:hAnsi="宋体" w:eastAsia="宋体" w:cs="宋体"/>
                <w:color w:val="auto"/>
                <w:lang w:eastAsia="zh-CN"/>
              </w:rPr>
              <w:t>《</w:t>
            </w:r>
            <w:r>
              <w:rPr>
                <w:rFonts w:hint="eastAsia" w:cs="宋体"/>
                <w:color w:val="auto"/>
                <w:lang w:val="en-US" w:eastAsia="zh-CN"/>
              </w:rPr>
              <w:t>信息安全技术</w:t>
            </w:r>
            <w:r>
              <w:rPr>
                <w:rFonts w:hint="eastAsia" w:ascii="宋体" w:hAnsi="宋体" w:eastAsia="宋体" w:cs="宋体"/>
                <w:color w:val="auto"/>
              </w:rPr>
              <w:t>网络安全等级保护基本要求</w:t>
            </w:r>
            <w:r>
              <w:rPr>
                <w:rFonts w:hint="eastAsia" w:ascii="宋体" w:hAnsi="宋体" w:eastAsia="宋体" w:cs="宋体"/>
                <w:color w:val="auto"/>
                <w:lang w:eastAsia="zh-CN"/>
              </w:rPr>
              <w:t>》</w:t>
            </w:r>
            <w:r>
              <w:rPr>
                <w:rFonts w:hint="eastAsia" w:ascii="宋体" w:hAnsi="宋体" w:eastAsia="宋体" w:cs="宋体"/>
                <w:color w:val="auto"/>
              </w:rPr>
              <w:t>（GB/T</w:t>
            </w:r>
            <w:r>
              <w:rPr>
                <w:rFonts w:hint="eastAsia" w:ascii="宋体" w:hAnsi="宋体" w:eastAsia="宋体" w:cs="宋体"/>
                <w:color w:val="auto"/>
                <w:lang w:val="en-US" w:eastAsia="zh-CN"/>
              </w:rPr>
              <w:t xml:space="preserve"> </w:t>
            </w:r>
            <w:r>
              <w:rPr>
                <w:rFonts w:hint="eastAsia" w:ascii="宋体" w:hAnsi="宋体" w:eastAsia="宋体" w:cs="宋体"/>
                <w:color w:val="auto"/>
              </w:rPr>
              <w:t>22239-2019）</w:t>
            </w:r>
            <w:r>
              <w:rPr>
                <w:rFonts w:hint="eastAsia" w:cs="宋体"/>
                <w:color w:val="auto"/>
                <w:lang w:eastAsia="zh-CN"/>
              </w:rPr>
              <w:t>、</w:t>
            </w:r>
            <w:r>
              <w:rPr>
                <w:rFonts w:hint="eastAsia" w:cs="宋体"/>
                <w:color w:val="auto"/>
              </w:rPr>
              <w:t>《信息安全技术网络安全等级保护定级指南》（GB/T 22240-2020）</w:t>
            </w:r>
            <w:r>
              <w:rPr>
                <w:rFonts w:hint="eastAsia" w:ascii="宋体" w:hAnsi="宋体" w:eastAsia="宋体" w:cs="宋体"/>
                <w:color w:val="auto"/>
              </w:rPr>
              <w:t>对</w:t>
            </w:r>
            <w:r>
              <w:rPr>
                <w:rFonts w:hint="eastAsia" w:cs="宋体"/>
                <w:color w:val="auto"/>
                <w:lang w:val="en-US" w:eastAsia="zh-CN"/>
              </w:rPr>
              <w:t>采购人</w:t>
            </w:r>
            <w:r>
              <w:rPr>
                <w:rFonts w:hint="eastAsia" w:ascii="宋体" w:hAnsi="宋体" w:eastAsia="宋体" w:cs="宋体"/>
                <w:b/>
                <w:bCs/>
                <w:color w:val="FF0000"/>
                <w:lang w:val="en-US" w:eastAsia="zh-CN"/>
              </w:rPr>
              <w:t>互联网医院信息管理系统、医院数据集成平台、医院信息系统(HIS)</w:t>
            </w:r>
            <w:r>
              <w:rPr>
                <w:rFonts w:hint="eastAsia" w:cs="宋体"/>
                <w:b w:val="0"/>
                <w:bCs w:val="0"/>
                <w:color w:val="auto"/>
                <w:lang w:val="en-US" w:eastAsia="zh-CN"/>
              </w:rPr>
              <w:t>3套系统分别</w:t>
            </w:r>
            <w:r>
              <w:rPr>
                <w:rFonts w:hint="eastAsia" w:ascii="宋体" w:hAnsi="宋体" w:eastAsia="宋体" w:cs="宋体"/>
                <w:color w:val="auto"/>
              </w:rPr>
              <w:t>开展</w:t>
            </w:r>
            <w:r>
              <w:rPr>
                <w:rFonts w:hint="eastAsia" w:ascii="宋体" w:hAnsi="宋体" w:eastAsia="宋体" w:cs="宋体"/>
                <w:color w:val="auto"/>
                <w:lang w:val="en-US" w:eastAsia="zh-CN"/>
              </w:rPr>
              <w:t>网络</w:t>
            </w:r>
            <w:r>
              <w:rPr>
                <w:rFonts w:hint="eastAsia" w:ascii="宋体" w:hAnsi="宋体" w:eastAsia="宋体" w:cs="宋体"/>
                <w:color w:val="auto"/>
              </w:rPr>
              <w:t>安全等级保护测评工作</w:t>
            </w:r>
            <w:r>
              <w:rPr>
                <w:rFonts w:hint="eastAsia" w:cs="宋体"/>
                <w:color w:val="auto"/>
                <w:lang w:eastAsia="zh-CN"/>
              </w:rPr>
              <w:t>。</w:t>
            </w:r>
          </w:p>
          <w:p w14:paraId="668C1712">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0" w:firstLineChars="200"/>
              <w:jc w:val="both"/>
              <w:textAlignment w:val="auto"/>
              <w:outlineLvl w:val="9"/>
              <w:rPr>
                <w:rFonts w:hint="eastAsia" w:ascii="宋体" w:hAnsi="宋体" w:eastAsia="宋体" w:cs="宋体"/>
                <w:color w:val="auto"/>
                <w:lang w:val="en-US" w:eastAsia="zh-CN"/>
              </w:rPr>
            </w:pPr>
            <w:r>
              <w:rPr>
                <w:rFonts w:hint="eastAsia" w:cs="宋体"/>
                <w:color w:val="auto"/>
                <w:lang w:val="en-US" w:eastAsia="zh-CN"/>
              </w:rPr>
              <w:t>2.</w:t>
            </w:r>
            <w:r>
              <w:rPr>
                <w:rFonts w:hint="eastAsia" w:cs="宋体"/>
                <w:color w:val="auto"/>
              </w:rPr>
              <w:t>测评需严格遵循国家网络安全等级保护制度及卫健行业信息安全管理要求，完成现状调研、合规测评、漏洞检测、风险分析、整改建议梳理、汇总分析等全流程工作，最终</w:t>
            </w:r>
            <w:r>
              <w:rPr>
                <w:rFonts w:hint="eastAsia" w:cs="宋体"/>
                <w:color w:val="auto"/>
                <w:lang w:val="en-US" w:eastAsia="zh-CN"/>
              </w:rPr>
              <w:t>分别</w:t>
            </w:r>
            <w:r>
              <w:rPr>
                <w:rFonts w:hint="eastAsia" w:ascii="宋体" w:hAnsi="宋体" w:eastAsia="宋体" w:cs="宋体"/>
                <w:color w:val="auto"/>
              </w:rPr>
              <w:t>出具</w:t>
            </w:r>
            <w:r>
              <w:rPr>
                <w:rFonts w:hint="eastAsia" w:cs="宋体"/>
                <w:color w:val="auto"/>
                <w:lang w:val="en-US" w:eastAsia="zh-CN"/>
              </w:rPr>
              <w:t>单系统的</w:t>
            </w:r>
            <w:r>
              <w:rPr>
                <w:rFonts w:hint="eastAsia" w:ascii="宋体" w:hAnsi="宋体" w:eastAsia="宋体" w:cs="宋体"/>
                <w:color w:val="auto"/>
                <w:lang w:val="en-US" w:eastAsia="zh-CN"/>
              </w:rPr>
              <w:t>网络</w:t>
            </w:r>
            <w:r>
              <w:rPr>
                <w:rFonts w:hint="eastAsia" w:ascii="宋体" w:hAnsi="宋体" w:eastAsia="宋体" w:cs="宋体"/>
                <w:color w:val="auto"/>
              </w:rPr>
              <w:t>安全等级</w:t>
            </w:r>
            <w:r>
              <w:rPr>
                <w:rFonts w:hint="eastAsia" w:ascii="宋体" w:hAnsi="宋体" w:eastAsia="宋体" w:cs="宋体"/>
                <w:color w:val="auto"/>
                <w:lang w:val="en-US" w:eastAsia="zh-CN"/>
              </w:rPr>
              <w:t>保护</w:t>
            </w:r>
            <w:r>
              <w:rPr>
                <w:rFonts w:hint="eastAsia" w:ascii="宋体" w:hAnsi="宋体" w:eastAsia="宋体" w:cs="宋体"/>
                <w:color w:val="auto"/>
              </w:rPr>
              <w:t>测评报告</w:t>
            </w:r>
            <w:r>
              <w:rPr>
                <w:rFonts w:hint="eastAsia" w:cs="宋体"/>
                <w:color w:val="auto"/>
                <w:lang w:val="en-US" w:eastAsia="zh-CN"/>
              </w:rPr>
              <w:t>、</w:t>
            </w:r>
            <w:r>
              <w:rPr>
                <w:rFonts w:hint="eastAsia" w:cs="宋体"/>
                <w:color w:val="auto"/>
              </w:rPr>
              <w:t>整体汇总测评资料，成果文件满足公安机关等保备案、网络安全督查、卫健行业安全检查、年度合规自查使用要求。</w:t>
            </w:r>
          </w:p>
          <w:p w14:paraId="079E7A6B">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both"/>
              <w:textAlignment w:val="auto"/>
              <w:outlineLvl w:val="9"/>
              <w:rPr>
                <w:rFonts w:hint="eastAsia" w:ascii="宋体" w:hAnsi="宋体" w:eastAsia="宋体" w:cs="宋体"/>
                <w:b/>
                <w:bCs/>
                <w:color w:val="auto"/>
              </w:rPr>
            </w:pPr>
            <w:r>
              <w:rPr>
                <w:rFonts w:hint="eastAsia" w:cs="宋体"/>
                <w:b/>
                <w:bCs/>
                <w:color w:val="auto"/>
                <w:lang w:val="en-US" w:eastAsia="zh-CN"/>
              </w:rPr>
              <w:t>二、</w:t>
            </w:r>
            <w:r>
              <w:rPr>
                <w:rFonts w:hint="eastAsia" w:ascii="宋体" w:hAnsi="宋体" w:eastAsia="宋体" w:cs="宋体"/>
                <w:b/>
                <w:bCs/>
                <w:color w:val="auto"/>
              </w:rPr>
              <w:t>标准依据</w:t>
            </w:r>
          </w:p>
          <w:p w14:paraId="710747B4">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480" w:firstLineChars="200"/>
              <w:jc w:val="both"/>
              <w:textAlignment w:val="auto"/>
              <w:outlineLvl w:val="9"/>
              <w:rPr>
                <w:rFonts w:hint="eastAsia" w:ascii="宋体" w:hAnsi="宋体" w:eastAsia="宋体" w:cs="宋体"/>
                <w:color w:val="auto"/>
              </w:rPr>
            </w:pPr>
            <w:r>
              <w:rPr>
                <w:rFonts w:hint="eastAsia" w:cs="宋体"/>
                <w:color w:val="auto"/>
                <w:lang w:val="en-US" w:eastAsia="zh-CN"/>
              </w:rPr>
              <w:t>1.</w:t>
            </w:r>
            <w:r>
              <w:rPr>
                <w:rFonts w:hint="eastAsia" w:ascii="宋体" w:hAnsi="宋体" w:eastAsia="宋体" w:cs="宋体"/>
                <w:color w:val="auto"/>
                <w:lang w:eastAsia="zh-CN"/>
              </w:rPr>
              <w:t>《</w:t>
            </w:r>
            <w:r>
              <w:rPr>
                <w:rFonts w:hint="eastAsia" w:ascii="宋体" w:hAnsi="宋体" w:eastAsia="宋体" w:cs="宋体"/>
                <w:color w:val="auto"/>
              </w:rPr>
              <w:t>计算机信息系统安全保护等级划分准则</w:t>
            </w:r>
            <w:r>
              <w:rPr>
                <w:rFonts w:hint="eastAsia" w:ascii="宋体" w:hAnsi="宋体" w:eastAsia="宋体" w:cs="宋体"/>
                <w:color w:val="auto"/>
                <w:lang w:eastAsia="zh-CN"/>
              </w:rPr>
              <w:t>》</w:t>
            </w:r>
            <w:r>
              <w:rPr>
                <w:rFonts w:hint="eastAsia" w:ascii="宋体" w:hAnsi="宋体" w:eastAsia="宋体" w:cs="宋体"/>
                <w:color w:val="auto"/>
              </w:rPr>
              <w:t>（GB 17859-1999</w:t>
            </w:r>
            <w:r>
              <w:rPr>
                <w:rFonts w:hint="eastAsia" w:ascii="宋体" w:hAnsi="宋体" w:eastAsia="宋体" w:cs="宋体"/>
                <w:color w:val="auto"/>
                <w:lang w:val="en-US" w:eastAsia="zh-CN"/>
              </w:rPr>
              <w:t>)</w:t>
            </w:r>
          </w:p>
          <w:p w14:paraId="08E3FCCB">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480" w:firstLineChars="200"/>
              <w:jc w:val="both"/>
              <w:textAlignment w:val="auto"/>
              <w:outlineLvl w:val="9"/>
              <w:rPr>
                <w:rFonts w:hint="eastAsia" w:ascii="宋体" w:hAnsi="宋体" w:eastAsia="宋体" w:cs="宋体"/>
                <w:color w:val="auto"/>
              </w:rPr>
            </w:pPr>
            <w:r>
              <w:rPr>
                <w:rFonts w:hint="eastAsia" w:cs="宋体"/>
                <w:color w:val="auto"/>
                <w:lang w:val="en-US" w:eastAsia="zh-CN"/>
              </w:rPr>
              <w:t>2.</w:t>
            </w:r>
            <w:r>
              <w:rPr>
                <w:rFonts w:hint="eastAsia" w:ascii="宋体" w:hAnsi="宋体" w:eastAsia="宋体" w:cs="宋体"/>
                <w:color w:val="auto"/>
                <w:lang w:eastAsia="zh-CN"/>
              </w:rPr>
              <w:t>《</w:t>
            </w:r>
            <w:r>
              <w:rPr>
                <w:rFonts w:hint="eastAsia" w:ascii="宋体" w:hAnsi="宋体" w:eastAsia="宋体" w:cs="宋体"/>
                <w:color w:val="auto"/>
              </w:rPr>
              <w:t>信息安全技术</w:t>
            </w:r>
            <w:r>
              <w:rPr>
                <w:rFonts w:hint="eastAsia" w:ascii="宋体" w:hAnsi="宋体" w:eastAsia="宋体" w:cs="宋体"/>
                <w:color w:val="auto"/>
                <w:lang w:val="en-US" w:eastAsia="zh-CN"/>
              </w:rPr>
              <w:t xml:space="preserve"> </w:t>
            </w:r>
            <w:r>
              <w:rPr>
                <w:rFonts w:hint="eastAsia" w:ascii="宋体" w:hAnsi="宋体" w:eastAsia="宋体" w:cs="宋体"/>
                <w:color w:val="auto"/>
              </w:rPr>
              <w:t>网络安全等级保护基本要求</w:t>
            </w:r>
            <w:r>
              <w:rPr>
                <w:rFonts w:hint="eastAsia" w:ascii="宋体" w:hAnsi="宋体" w:eastAsia="宋体" w:cs="宋体"/>
                <w:color w:val="auto"/>
                <w:lang w:eastAsia="zh-CN"/>
              </w:rPr>
              <w:t>》</w:t>
            </w:r>
            <w:r>
              <w:rPr>
                <w:rFonts w:hint="eastAsia" w:ascii="宋体" w:hAnsi="宋体" w:eastAsia="宋体" w:cs="宋体"/>
                <w:color w:val="auto"/>
              </w:rPr>
              <w:t>（GB/T</w:t>
            </w:r>
            <w:r>
              <w:rPr>
                <w:rFonts w:hint="eastAsia" w:ascii="宋体" w:hAnsi="宋体" w:eastAsia="宋体" w:cs="宋体"/>
                <w:color w:val="auto"/>
                <w:lang w:val="en-US" w:eastAsia="zh-CN"/>
              </w:rPr>
              <w:t xml:space="preserve"> </w:t>
            </w:r>
            <w:r>
              <w:rPr>
                <w:rFonts w:hint="eastAsia" w:ascii="宋体" w:hAnsi="宋体" w:eastAsia="宋体" w:cs="宋体"/>
                <w:color w:val="auto"/>
              </w:rPr>
              <w:t>22239-2019）</w:t>
            </w:r>
          </w:p>
          <w:p w14:paraId="299800B0">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480" w:firstLineChars="200"/>
              <w:jc w:val="both"/>
              <w:textAlignment w:val="auto"/>
              <w:outlineLvl w:val="9"/>
              <w:rPr>
                <w:rFonts w:hint="eastAsia" w:ascii="宋体" w:hAnsi="宋体" w:eastAsia="宋体" w:cs="宋体"/>
                <w:color w:val="auto"/>
              </w:rPr>
            </w:pPr>
            <w:r>
              <w:rPr>
                <w:rFonts w:hint="eastAsia" w:cs="宋体"/>
                <w:color w:val="auto"/>
                <w:lang w:val="en-US" w:eastAsia="zh-CN"/>
              </w:rPr>
              <w:t>3.</w:t>
            </w:r>
            <w:r>
              <w:rPr>
                <w:rFonts w:hint="eastAsia" w:ascii="宋体" w:hAnsi="宋体" w:eastAsia="宋体" w:cs="宋体"/>
                <w:color w:val="auto"/>
                <w:lang w:eastAsia="zh-CN"/>
              </w:rPr>
              <w:t>《</w:t>
            </w:r>
            <w:r>
              <w:rPr>
                <w:rFonts w:hint="eastAsia" w:ascii="宋体" w:hAnsi="宋体" w:eastAsia="宋体" w:cs="宋体"/>
                <w:color w:val="auto"/>
              </w:rPr>
              <w:t>信息安全技术</w:t>
            </w:r>
            <w:r>
              <w:rPr>
                <w:rFonts w:hint="eastAsia" w:ascii="宋体" w:hAnsi="宋体" w:eastAsia="宋体" w:cs="宋体"/>
                <w:color w:val="auto"/>
                <w:lang w:val="en-US" w:eastAsia="zh-CN"/>
              </w:rPr>
              <w:t xml:space="preserve"> </w:t>
            </w:r>
            <w:r>
              <w:rPr>
                <w:rFonts w:hint="eastAsia" w:ascii="宋体" w:hAnsi="宋体" w:eastAsia="宋体" w:cs="宋体"/>
                <w:color w:val="auto"/>
              </w:rPr>
              <w:t>网络安全等级保护测评要求</w:t>
            </w:r>
            <w:r>
              <w:rPr>
                <w:rFonts w:hint="eastAsia" w:ascii="宋体" w:hAnsi="宋体" w:eastAsia="宋体" w:cs="宋体"/>
                <w:color w:val="auto"/>
                <w:lang w:eastAsia="zh-CN"/>
              </w:rPr>
              <w:t>》</w:t>
            </w:r>
            <w:r>
              <w:rPr>
                <w:rFonts w:hint="eastAsia" w:ascii="宋体" w:hAnsi="宋体" w:eastAsia="宋体" w:cs="宋体"/>
                <w:color w:val="auto"/>
              </w:rPr>
              <w:t>（GB</w:t>
            </w:r>
            <w:r>
              <w:rPr>
                <w:rFonts w:hint="eastAsia" w:ascii="宋体" w:hAnsi="宋体" w:eastAsia="宋体" w:cs="宋体"/>
                <w:color w:val="auto"/>
                <w:lang w:val="en-US" w:eastAsia="zh-CN"/>
              </w:rPr>
              <w:t>/</w:t>
            </w:r>
            <w:r>
              <w:rPr>
                <w:rFonts w:hint="eastAsia" w:ascii="宋体" w:hAnsi="宋体" w:eastAsia="宋体" w:cs="宋体"/>
                <w:color w:val="auto"/>
              </w:rPr>
              <w:t>T</w:t>
            </w:r>
            <w:r>
              <w:rPr>
                <w:rFonts w:hint="eastAsia" w:ascii="宋体" w:hAnsi="宋体" w:eastAsia="宋体" w:cs="宋体"/>
                <w:color w:val="auto"/>
                <w:lang w:val="en-US" w:eastAsia="zh-CN"/>
              </w:rPr>
              <w:t xml:space="preserve"> </w:t>
            </w:r>
            <w:r>
              <w:rPr>
                <w:rFonts w:hint="eastAsia" w:ascii="宋体" w:hAnsi="宋体" w:eastAsia="宋体" w:cs="宋体"/>
                <w:color w:val="auto"/>
              </w:rPr>
              <w:t>28448-2019）</w:t>
            </w:r>
          </w:p>
          <w:p w14:paraId="12AF4837">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480" w:firstLineChars="200"/>
              <w:jc w:val="both"/>
              <w:textAlignment w:val="auto"/>
              <w:outlineLvl w:val="9"/>
              <w:rPr>
                <w:rFonts w:hint="eastAsia" w:ascii="宋体" w:hAnsi="宋体" w:eastAsia="宋体" w:cs="宋体"/>
                <w:color w:val="auto"/>
              </w:rPr>
            </w:pPr>
            <w:r>
              <w:rPr>
                <w:rFonts w:hint="eastAsia" w:cs="宋体"/>
                <w:color w:val="auto"/>
                <w:lang w:val="en-US" w:eastAsia="zh-CN"/>
              </w:rPr>
              <w:t>4.</w:t>
            </w:r>
            <w:r>
              <w:rPr>
                <w:rFonts w:hint="eastAsia" w:ascii="宋体" w:hAnsi="宋体" w:eastAsia="宋体" w:cs="宋体"/>
                <w:color w:val="auto"/>
                <w:lang w:eastAsia="zh-CN"/>
              </w:rPr>
              <w:t>《</w:t>
            </w:r>
            <w:r>
              <w:rPr>
                <w:rFonts w:hint="eastAsia" w:ascii="宋体" w:hAnsi="宋体" w:eastAsia="宋体" w:cs="宋体"/>
                <w:color w:val="auto"/>
              </w:rPr>
              <w:t>信息安全技术</w:t>
            </w:r>
            <w:r>
              <w:rPr>
                <w:rFonts w:hint="eastAsia" w:ascii="宋体" w:hAnsi="宋体" w:eastAsia="宋体" w:cs="宋体"/>
                <w:color w:val="auto"/>
                <w:lang w:val="en-US" w:eastAsia="zh-CN"/>
              </w:rPr>
              <w:t xml:space="preserve"> </w:t>
            </w:r>
            <w:r>
              <w:rPr>
                <w:rFonts w:hint="eastAsia" w:ascii="宋体" w:hAnsi="宋体" w:eastAsia="宋体" w:cs="宋体"/>
                <w:color w:val="auto"/>
              </w:rPr>
              <w:t>网络安全等级保护测评过程指南</w:t>
            </w:r>
            <w:r>
              <w:rPr>
                <w:rFonts w:hint="eastAsia" w:ascii="宋体" w:hAnsi="宋体" w:eastAsia="宋体" w:cs="宋体"/>
                <w:color w:val="auto"/>
                <w:lang w:eastAsia="zh-CN"/>
              </w:rPr>
              <w:t>》</w:t>
            </w:r>
            <w:r>
              <w:rPr>
                <w:rFonts w:hint="eastAsia" w:ascii="宋体" w:hAnsi="宋体" w:eastAsia="宋体" w:cs="宋体"/>
                <w:color w:val="auto"/>
              </w:rPr>
              <w:t>（GB/T</w:t>
            </w:r>
            <w:r>
              <w:rPr>
                <w:rFonts w:hint="eastAsia" w:ascii="宋体" w:hAnsi="宋体" w:eastAsia="宋体" w:cs="宋体"/>
                <w:color w:val="auto"/>
                <w:lang w:val="en-US" w:eastAsia="zh-CN"/>
              </w:rPr>
              <w:t xml:space="preserve"> </w:t>
            </w:r>
            <w:r>
              <w:rPr>
                <w:rFonts w:hint="eastAsia" w:ascii="宋体" w:hAnsi="宋体" w:eastAsia="宋体" w:cs="宋体"/>
                <w:color w:val="auto"/>
              </w:rPr>
              <w:t>28449-2018</w:t>
            </w:r>
            <w:r>
              <w:rPr>
                <w:rFonts w:hint="eastAsia" w:ascii="宋体" w:hAnsi="宋体" w:eastAsia="宋体" w:cs="宋体"/>
                <w:color w:val="auto"/>
                <w:lang w:val="en-US" w:eastAsia="zh-CN"/>
              </w:rPr>
              <w:t>)</w:t>
            </w:r>
          </w:p>
          <w:p w14:paraId="448967D0">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480" w:firstLineChars="200"/>
              <w:jc w:val="both"/>
              <w:textAlignment w:val="auto"/>
              <w:outlineLvl w:val="9"/>
              <w:rPr>
                <w:rFonts w:hint="eastAsia" w:ascii="宋体" w:hAnsi="宋体" w:eastAsia="宋体" w:cs="宋体"/>
                <w:color w:val="auto"/>
              </w:rPr>
            </w:pPr>
            <w:r>
              <w:rPr>
                <w:rFonts w:hint="eastAsia" w:cs="宋体"/>
                <w:color w:val="auto"/>
                <w:lang w:val="en-US" w:eastAsia="zh-CN"/>
              </w:rPr>
              <w:t>5.</w:t>
            </w:r>
            <w:r>
              <w:rPr>
                <w:rFonts w:hint="eastAsia" w:ascii="宋体" w:hAnsi="宋体" w:eastAsia="宋体" w:cs="宋体"/>
                <w:color w:val="auto"/>
                <w:lang w:eastAsia="zh-CN"/>
              </w:rPr>
              <w:t>《</w:t>
            </w:r>
            <w:r>
              <w:rPr>
                <w:rFonts w:hint="eastAsia" w:ascii="宋体" w:hAnsi="宋体" w:eastAsia="宋体" w:cs="宋体"/>
                <w:color w:val="auto"/>
              </w:rPr>
              <w:t>信息安全技术</w:t>
            </w:r>
            <w:r>
              <w:rPr>
                <w:rFonts w:hint="eastAsia" w:ascii="宋体" w:hAnsi="宋体" w:eastAsia="宋体" w:cs="宋体"/>
                <w:color w:val="auto"/>
                <w:lang w:val="en-US" w:eastAsia="zh-CN"/>
              </w:rPr>
              <w:t xml:space="preserve"> </w:t>
            </w:r>
            <w:r>
              <w:rPr>
                <w:rFonts w:hint="eastAsia" w:ascii="宋体" w:hAnsi="宋体" w:eastAsia="宋体" w:cs="宋体"/>
                <w:color w:val="auto"/>
              </w:rPr>
              <w:t>网络安全等级保护设计技术要求</w:t>
            </w:r>
            <w:r>
              <w:rPr>
                <w:rFonts w:hint="eastAsia" w:ascii="宋体" w:hAnsi="宋体" w:eastAsia="宋体" w:cs="宋体"/>
                <w:color w:val="auto"/>
                <w:lang w:eastAsia="zh-CN"/>
              </w:rPr>
              <w:t>》</w:t>
            </w:r>
            <w:r>
              <w:rPr>
                <w:rFonts w:hint="eastAsia" w:ascii="宋体" w:hAnsi="宋体" w:eastAsia="宋体" w:cs="宋体"/>
                <w:color w:val="auto"/>
              </w:rPr>
              <w:t>（GB/T</w:t>
            </w:r>
            <w:r>
              <w:rPr>
                <w:rFonts w:hint="eastAsia" w:ascii="宋体" w:hAnsi="宋体" w:eastAsia="宋体" w:cs="宋体"/>
                <w:color w:val="auto"/>
                <w:lang w:val="en-US" w:eastAsia="zh-CN"/>
              </w:rPr>
              <w:t xml:space="preserve"> </w:t>
            </w:r>
            <w:r>
              <w:rPr>
                <w:rFonts w:hint="eastAsia" w:ascii="宋体" w:hAnsi="宋体" w:eastAsia="宋体" w:cs="宋体"/>
                <w:color w:val="auto"/>
              </w:rPr>
              <w:t>25070-2019）</w:t>
            </w:r>
          </w:p>
          <w:p w14:paraId="71D474A0">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left="0" w:leftChars="0" w:firstLine="480" w:firstLineChars="200"/>
              <w:jc w:val="both"/>
              <w:textAlignment w:val="auto"/>
              <w:outlineLvl w:val="9"/>
              <w:rPr>
                <w:rFonts w:hint="eastAsia" w:ascii="宋体" w:hAnsi="宋体" w:eastAsia="宋体" w:cs="宋体"/>
                <w:color w:val="auto"/>
              </w:rPr>
            </w:pPr>
            <w:r>
              <w:rPr>
                <w:rFonts w:hint="eastAsia" w:cs="宋体"/>
                <w:color w:val="auto"/>
                <w:lang w:val="en-US" w:eastAsia="zh-CN"/>
              </w:rPr>
              <w:t>6.</w:t>
            </w:r>
            <w:r>
              <w:rPr>
                <w:rFonts w:hint="eastAsia" w:ascii="宋体" w:hAnsi="宋体" w:eastAsia="宋体" w:cs="宋体"/>
                <w:color w:val="auto"/>
                <w:lang w:eastAsia="zh-CN"/>
              </w:rPr>
              <w:t>《</w:t>
            </w:r>
            <w:r>
              <w:rPr>
                <w:rFonts w:hint="eastAsia" w:ascii="宋体" w:hAnsi="宋体" w:eastAsia="宋体" w:cs="宋体"/>
                <w:color w:val="auto"/>
              </w:rPr>
              <w:t>网络安全等级保护测试评估技术指南</w:t>
            </w:r>
            <w:r>
              <w:rPr>
                <w:rFonts w:hint="eastAsia" w:ascii="宋体" w:hAnsi="宋体" w:eastAsia="宋体" w:cs="宋体"/>
                <w:color w:val="auto"/>
                <w:lang w:eastAsia="zh-CN"/>
              </w:rPr>
              <w:t>》（</w:t>
            </w:r>
            <w:r>
              <w:rPr>
                <w:rFonts w:hint="eastAsia" w:ascii="宋体" w:hAnsi="宋体" w:eastAsia="宋体" w:cs="宋体"/>
                <w:color w:val="auto"/>
              </w:rPr>
              <w:t>GB</w:t>
            </w:r>
            <w:r>
              <w:rPr>
                <w:rFonts w:hint="eastAsia" w:ascii="宋体" w:hAnsi="宋体" w:eastAsia="宋体" w:cs="宋体"/>
                <w:color w:val="auto"/>
                <w:lang w:val="en-US" w:eastAsia="zh-CN"/>
              </w:rPr>
              <w:t>/</w:t>
            </w:r>
            <w:r>
              <w:rPr>
                <w:rFonts w:hint="eastAsia" w:ascii="宋体" w:hAnsi="宋体" w:eastAsia="宋体" w:cs="宋体"/>
                <w:color w:val="auto"/>
              </w:rPr>
              <w:t>T 36627-2018）</w:t>
            </w:r>
          </w:p>
          <w:p w14:paraId="13100838">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both"/>
              <w:textAlignment w:val="auto"/>
              <w:outlineLvl w:val="9"/>
              <w:rPr>
                <w:rFonts w:hint="eastAsia" w:ascii="宋体" w:hAnsi="宋体" w:eastAsia="宋体" w:cs="宋体"/>
                <w:b/>
                <w:bCs/>
                <w:color w:val="auto"/>
                <w:lang w:val="en-US" w:eastAsia="zh-CN"/>
              </w:rPr>
            </w:pPr>
            <w:r>
              <w:rPr>
                <w:rFonts w:hint="eastAsia" w:ascii="宋体" w:hAnsi="宋体" w:eastAsia="宋体" w:cs="宋体"/>
                <w:color w:val="auto"/>
                <w:sz w:val="24"/>
                <w:szCs w:val="24"/>
                <w:lang w:val="en-US" w:eastAsia="zh-CN"/>
              </w:rPr>
              <w:t>▲</w:t>
            </w:r>
            <w:r>
              <w:rPr>
                <w:rFonts w:hint="eastAsia" w:cs="宋体"/>
                <w:color w:val="auto"/>
                <w:sz w:val="24"/>
                <w:szCs w:val="24"/>
                <w:lang w:val="en-US" w:eastAsia="zh-CN"/>
              </w:rPr>
              <w:t>三</w:t>
            </w:r>
            <w:r>
              <w:rPr>
                <w:rFonts w:hint="eastAsia" w:cs="宋体"/>
                <w:b/>
                <w:bCs/>
                <w:color w:val="auto"/>
                <w:lang w:val="en-US" w:eastAsia="zh-CN"/>
              </w:rPr>
              <w:t>、</w:t>
            </w:r>
            <w:r>
              <w:rPr>
                <w:rFonts w:hint="eastAsia" w:ascii="宋体" w:hAnsi="宋体" w:eastAsia="宋体" w:cs="宋体"/>
                <w:b/>
                <w:bCs/>
                <w:color w:val="auto"/>
                <w:lang w:val="en-US" w:eastAsia="zh-CN"/>
              </w:rPr>
              <w:t>测评内容</w:t>
            </w:r>
          </w:p>
          <w:p w14:paraId="3121A8A2">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2" w:firstLineChars="200"/>
              <w:jc w:val="both"/>
              <w:textAlignment w:val="auto"/>
              <w:outlineLvl w:val="9"/>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w:t>
            </w:r>
            <w:r>
              <w:rPr>
                <w:rFonts w:hint="eastAsia" w:cs="宋体"/>
                <w:b/>
                <w:bCs/>
                <w:color w:val="auto"/>
                <w:lang w:val="en-US" w:eastAsia="zh-CN"/>
              </w:rPr>
              <w:t>一</w:t>
            </w:r>
            <w:r>
              <w:rPr>
                <w:rFonts w:hint="eastAsia" w:ascii="宋体" w:hAnsi="宋体" w:eastAsia="宋体" w:cs="宋体"/>
                <w:b/>
                <w:bCs/>
                <w:color w:val="auto"/>
                <w:lang w:val="en-US" w:eastAsia="zh-CN"/>
              </w:rPr>
              <w:t>）安全通用要求</w:t>
            </w:r>
          </w:p>
          <w:p w14:paraId="1DA2859F">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0" w:firstLineChars="200"/>
              <w:jc w:val="both"/>
              <w:textAlignment w:val="auto"/>
              <w:outlineLvl w:val="9"/>
              <w:rPr>
                <w:rFonts w:hint="eastAsia" w:ascii="宋体" w:hAnsi="宋体" w:eastAsia="宋体" w:cs="宋体"/>
                <w:color w:val="auto"/>
              </w:rPr>
            </w:pPr>
            <w:r>
              <w:rPr>
                <w:rFonts w:hint="eastAsia" w:ascii="宋体" w:hAnsi="宋体" w:eastAsia="宋体" w:cs="宋体"/>
                <w:color w:val="auto"/>
                <w:lang w:val="en-US" w:eastAsia="zh-CN"/>
              </w:rPr>
              <w:t>安全通用要求</w:t>
            </w:r>
            <w:r>
              <w:rPr>
                <w:rFonts w:hint="eastAsia" w:ascii="宋体" w:hAnsi="宋体" w:eastAsia="宋体" w:cs="宋体"/>
                <w:color w:val="auto"/>
              </w:rPr>
              <w:t>测评内容应包括</w:t>
            </w:r>
            <w:r>
              <w:rPr>
                <w:rFonts w:hint="eastAsia" w:ascii="宋体" w:hAnsi="宋体" w:eastAsia="宋体" w:cs="宋体"/>
                <w:color w:val="auto"/>
                <w:lang w:val="en-US" w:eastAsia="zh-CN"/>
              </w:rPr>
              <w:t>安全</w:t>
            </w:r>
            <w:r>
              <w:rPr>
                <w:rFonts w:hint="eastAsia" w:ascii="宋体" w:hAnsi="宋体" w:eastAsia="宋体" w:cs="宋体"/>
                <w:color w:val="auto"/>
              </w:rPr>
              <w:t>技术和</w:t>
            </w:r>
            <w:r>
              <w:rPr>
                <w:rFonts w:hint="eastAsia" w:ascii="宋体" w:hAnsi="宋体" w:eastAsia="宋体" w:cs="宋体"/>
                <w:color w:val="auto"/>
                <w:lang w:val="en-US" w:eastAsia="zh-CN"/>
              </w:rPr>
              <w:t>安全</w:t>
            </w:r>
            <w:r>
              <w:rPr>
                <w:rFonts w:hint="eastAsia" w:ascii="宋体" w:hAnsi="宋体" w:eastAsia="宋体" w:cs="宋体"/>
                <w:color w:val="auto"/>
              </w:rPr>
              <w:t>管理两大类，其中技术类应包括对安全物理环境、安全通信网络、安全区域边界、安全计算环境、安全管理</w:t>
            </w:r>
            <w:r>
              <w:rPr>
                <w:rFonts w:hint="eastAsia" w:ascii="宋体" w:hAnsi="宋体" w:eastAsia="宋体" w:cs="宋体"/>
                <w:color w:val="auto"/>
                <w:lang w:val="en-US" w:eastAsia="zh-CN"/>
              </w:rPr>
              <w:t>中心五个</w:t>
            </w:r>
            <w:r>
              <w:rPr>
                <w:rFonts w:hint="eastAsia" w:ascii="宋体" w:hAnsi="宋体" w:eastAsia="宋体" w:cs="宋体"/>
                <w:color w:val="auto"/>
              </w:rPr>
              <w:t>方面的测评，</w:t>
            </w:r>
            <w:r>
              <w:rPr>
                <w:rFonts w:hint="eastAsia" w:ascii="宋体" w:hAnsi="宋体" w:eastAsia="宋体" w:cs="宋体"/>
                <w:color w:val="auto"/>
                <w:lang w:val="en-US" w:eastAsia="zh-CN"/>
              </w:rPr>
              <w:t>安全</w:t>
            </w:r>
            <w:r>
              <w:rPr>
                <w:rFonts w:hint="eastAsia" w:ascii="宋体" w:hAnsi="宋体" w:eastAsia="宋体" w:cs="宋体"/>
                <w:color w:val="auto"/>
              </w:rPr>
              <w:t>管理类测评应包括对安全管理制度、安全管理机构、安全管理人员、安全建设管理、安全运维管理</w:t>
            </w:r>
            <w:r>
              <w:rPr>
                <w:rFonts w:hint="eastAsia" w:ascii="宋体" w:hAnsi="宋体" w:eastAsia="宋体" w:cs="宋体"/>
                <w:color w:val="auto"/>
                <w:lang w:val="en-US" w:eastAsia="zh-CN"/>
              </w:rPr>
              <w:t>五个</w:t>
            </w:r>
            <w:r>
              <w:rPr>
                <w:rFonts w:hint="eastAsia" w:ascii="宋体" w:hAnsi="宋体" w:eastAsia="宋体" w:cs="宋体"/>
                <w:color w:val="auto"/>
              </w:rPr>
              <w:t>方面的测评。</w:t>
            </w:r>
          </w:p>
          <w:p w14:paraId="50AD39A9">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2" w:firstLineChars="200"/>
              <w:jc w:val="both"/>
              <w:textAlignment w:val="auto"/>
              <w:outlineLvl w:val="9"/>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w:t>
            </w:r>
            <w:r>
              <w:rPr>
                <w:rFonts w:hint="eastAsia" w:cs="宋体"/>
                <w:b/>
                <w:bCs/>
                <w:color w:val="auto"/>
                <w:lang w:val="en-US" w:eastAsia="zh-CN"/>
              </w:rPr>
              <w:t>二</w:t>
            </w:r>
            <w:r>
              <w:rPr>
                <w:rFonts w:hint="eastAsia" w:ascii="宋体" w:hAnsi="宋体" w:eastAsia="宋体" w:cs="宋体"/>
                <w:b/>
                <w:bCs/>
                <w:color w:val="auto"/>
                <w:lang w:val="en-US" w:eastAsia="zh-CN"/>
              </w:rPr>
              <w:t>）安全扩展要求</w:t>
            </w:r>
          </w:p>
          <w:p w14:paraId="07B1CC4E">
            <w:pPr>
              <w:keepNext w:val="0"/>
              <w:keepLines w:val="0"/>
              <w:pageBreakBefore w:val="0"/>
              <w:kinsoku/>
              <w:wordWrap/>
              <w:overflowPunct/>
              <w:topLinePunct w:val="0"/>
              <w:autoSpaceDE/>
              <w:autoSpaceDN/>
              <w:bidi w:val="0"/>
              <w:adjustRightInd w:val="0"/>
              <w:snapToGrid w:val="0"/>
              <w:spacing w:line="240" w:lineRule="auto"/>
              <w:ind w:firstLine="480" w:firstLineChars="200"/>
              <w:jc w:val="left"/>
              <w:textAlignment w:val="auto"/>
              <w:rPr>
                <w:rFonts w:hint="eastAsia" w:ascii="宋体" w:hAnsi="宋体" w:eastAsia="宋体" w:cs="宋体"/>
                <w:color w:val="000000"/>
                <w:szCs w:val="24"/>
              </w:rPr>
            </w:pPr>
            <w:r>
              <w:rPr>
                <w:rFonts w:hint="eastAsia" w:ascii="宋体" w:hAnsi="宋体" w:eastAsia="宋体" w:cs="宋体"/>
                <w:color w:val="000000"/>
                <w:szCs w:val="24"/>
              </w:rPr>
              <w:t>根据现场情况，保护对象可能涉及的安全扩展要求包括：</w:t>
            </w:r>
          </w:p>
          <w:p w14:paraId="136D6335">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2" w:firstLineChars="200"/>
              <w:jc w:val="both"/>
              <w:textAlignment w:val="auto"/>
              <w:outlineLvl w:val="9"/>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1</w:t>
            </w:r>
            <w:r>
              <w:rPr>
                <w:rFonts w:hint="eastAsia" w:cs="宋体"/>
                <w:b/>
                <w:bCs/>
                <w:color w:val="auto"/>
                <w:lang w:val="en-US" w:eastAsia="zh-CN"/>
              </w:rPr>
              <w:t>.</w:t>
            </w:r>
            <w:r>
              <w:rPr>
                <w:rFonts w:hint="eastAsia" w:ascii="宋体" w:hAnsi="宋体" w:eastAsia="宋体" w:cs="宋体"/>
                <w:b/>
                <w:bCs/>
                <w:color w:val="auto"/>
                <w:lang w:val="en-US" w:eastAsia="zh-CN"/>
              </w:rPr>
              <w:t>云计算</w:t>
            </w:r>
          </w:p>
          <w:p w14:paraId="0E66C8C4">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0" w:firstLineChars="200"/>
              <w:jc w:val="both"/>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云计算安全测评内容包括对安全物理环境、安全通信网络、安全区域边界、安全计算环境、安全管理中心、安全建设管理、安全运维管理等的测评。</w:t>
            </w:r>
          </w:p>
          <w:p w14:paraId="0AF688D6">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2" w:firstLineChars="200"/>
              <w:jc w:val="both"/>
              <w:textAlignment w:val="auto"/>
              <w:outlineLvl w:val="9"/>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2</w:t>
            </w:r>
            <w:r>
              <w:rPr>
                <w:rFonts w:hint="eastAsia" w:cs="宋体"/>
                <w:b/>
                <w:bCs/>
                <w:color w:val="auto"/>
                <w:lang w:val="en-US" w:eastAsia="zh-CN"/>
              </w:rPr>
              <w:t>.</w:t>
            </w:r>
            <w:r>
              <w:rPr>
                <w:rFonts w:hint="eastAsia" w:ascii="宋体" w:hAnsi="宋体" w:eastAsia="宋体" w:cs="宋体"/>
                <w:b/>
                <w:bCs/>
                <w:color w:val="auto"/>
                <w:lang w:val="en-US" w:eastAsia="zh-CN"/>
              </w:rPr>
              <w:t>移动互联</w:t>
            </w:r>
          </w:p>
          <w:p w14:paraId="53E3C52B">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0" w:firstLineChars="200"/>
              <w:jc w:val="both"/>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移动互联安全测评内容包括对安全物理环境、安全区域边界、安全计算环境、安全建设管理、安全运维管理等的测评。</w:t>
            </w:r>
          </w:p>
          <w:p w14:paraId="52347A10">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2" w:firstLineChars="200"/>
              <w:jc w:val="both"/>
              <w:textAlignment w:val="auto"/>
              <w:outlineLvl w:val="9"/>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3</w:t>
            </w:r>
            <w:r>
              <w:rPr>
                <w:rFonts w:hint="eastAsia" w:cs="宋体"/>
                <w:b/>
                <w:bCs/>
                <w:color w:val="auto"/>
                <w:lang w:val="en-US" w:eastAsia="zh-CN"/>
              </w:rPr>
              <w:t>.</w:t>
            </w:r>
            <w:r>
              <w:rPr>
                <w:rFonts w:hint="eastAsia" w:ascii="宋体" w:hAnsi="宋体" w:eastAsia="宋体" w:cs="宋体"/>
                <w:b/>
                <w:bCs/>
                <w:color w:val="auto"/>
                <w:lang w:val="en-US" w:eastAsia="zh-CN"/>
              </w:rPr>
              <w:t>物联网</w:t>
            </w:r>
          </w:p>
          <w:p w14:paraId="27C0BED2">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0" w:firstLineChars="200"/>
              <w:jc w:val="both"/>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物联网安全测评内容包括对安全物理环境、安全区域边界、安全计算环境、安全运维管理等的测评。</w:t>
            </w:r>
          </w:p>
          <w:p w14:paraId="2BB848A7">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2" w:firstLineChars="200"/>
              <w:jc w:val="both"/>
              <w:textAlignment w:val="auto"/>
              <w:outlineLvl w:val="9"/>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4</w:t>
            </w:r>
            <w:r>
              <w:rPr>
                <w:rFonts w:hint="eastAsia" w:cs="宋体"/>
                <w:b/>
                <w:bCs/>
                <w:color w:val="auto"/>
                <w:lang w:val="en-US" w:eastAsia="zh-CN"/>
              </w:rPr>
              <w:t>.</w:t>
            </w:r>
            <w:r>
              <w:rPr>
                <w:rFonts w:hint="eastAsia" w:ascii="宋体" w:hAnsi="宋体" w:eastAsia="宋体" w:cs="宋体"/>
                <w:b/>
                <w:bCs/>
                <w:color w:val="auto"/>
                <w:lang w:val="en-US" w:eastAsia="zh-CN"/>
              </w:rPr>
              <w:t>工业控制系统</w:t>
            </w:r>
          </w:p>
          <w:p w14:paraId="46298D04">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0" w:firstLineChars="200"/>
              <w:jc w:val="both"/>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工业控制系统安全测评包括对安全物理环境、安全通信网络、安全区域边界、安全计算环境、安全建设管理方面的测评。</w:t>
            </w:r>
          </w:p>
          <w:p w14:paraId="4FFDC932">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2" w:firstLineChars="200"/>
              <w:jc w:val="both"/>
              <w:textAlignment w:val="auto"/>
              <w:outlineLvl w:val="9"/>
              <w:rPr>
                <w:rFonts w:hint="eastAsia" w:ascii="宋体" w:hAnsi="宋体" w:eastAsia="宋体" w:cs="宋体"/>
                <w:b/>
                <w:bCs/>
                <w:color w:val="auto"/>
                <w:lang w:val="en-US" w:eastAsia="zh-CN"/>
              </w:rPr>
            </w:pPr>
            <w:r>
              <w:rPr>
                <w:rFonts w:hint="eastAsia" w:ascii="宋体" w:hAnsi="宋体" w:eastAsia="宋体" w:cs="宋体"/>
                <w:b/>
                <w:bCs/>
                <w:color w:val="auto"/>
                <w:lang w:val="en-US" w:eastAsia="zh-CN"/>
              </w:rPr>
              <w:t>5</w:t>
            </w:r>
            <w:r>
              <w:rPr>
                <w:rFonts w:hint="eastAsia" w:cs="宋体"/>
                <w:b/>
                <w:bCs/>
                <w:color w:val="auto"/>
                <w:lang w:val="en-US" w:eastAsia="zh-CN"/>
              </w:rPr>
              <w:t>.</w:t>
            </w:r>
            <w:r>
              <w:rPr>
                <w:rFonts w:hint="eastAsia" w:ascii="宋体" w:hAnsi="宋体" w:eastAsia="宋体" w:cs="宋体"/>
                <w:b/>
                <w:bCs/>
                <w:color w:val="auto"/>
                <w:lang w:val="en-US" w:eastAsia="zh-CN"/>
              </w:rPr>
              <w:t>大数据</w:t>
            </w:r>
          </w:p>
          <w:p w14:paraId="556B3038">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0" w:firstLineChars="200"/>
              <w:jc w:val="both"/>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大数据安全测评包括对安全物理环境、安全通信网络、安全计算环境、安全运维管理等的测评。</w:t>
            </w:r>
          </w:p>
          <w:p w14:paraId="586A8981">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both"/>
              <w:textAlignment w:val="auto"/>
              <w:outlineLvl w:val="9"/>
              <w:rPr>
                <w:rFonts w:hint="eastAsia" w:ascii="宋体" w:hAnsi="宋体" w:eastAsia="宋体" w:cs="宋体"/>
                <w:b/>
                <w:bCs/>
                <w:color w:val="auto"/>
                <w:lang w:val="en-US" w:eastAsia="zh-CN"/>
              </w:rPr>
            </w:pPr>
            <w:r>
              <w:rPr>
                <w:rFonts w:hint="eastAsia" w:ascii="宋体" w:hAnsi="宋体" w:eastAsia="宋体" w:cs="宋体"/>
                <w:color w:val="auto"/>
                <w:sz w:val="24"/>
                <w:szCs w:val="24"/>
                <w:lang w:val="en-US" w:eastAsia="zh-CN"/>
              </w:rPr>
              <w:t>▲</w:t>
            </w:r>
            <w:r>
              <w:rPr>
                <w:rFonts w:hint="eastAsia" w:cs="宋体"/>
                <w:b/>
                <w:bCs/>
                <w:color w:val="auto"/>
                <w:lang w:val="en-US" w:eastAsia="zh-CN"/>
              </w:rPr>
              <w:t>四、</w:t>
            </w:r>
            <w:r>
              <w:rPr>
                <w:rFonts w:hint="eastAsia" w:ascii="宋体" w:hAnsi="宋体" w:eastAsia="宋体" w:cs="宋体"/>
                <w:b/>
                <w:bCs/>
                <w:color w:val="auto"/>
                <w:lang w:val="en-US" w:eastAsia="zh-CN"/>
              </w:rPr>
              <w:t>测评方法</w:t>
            </w:r>
          </w:p>
          <w:p w14:paraId="4C1B81FF">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rPr>
            </w:pPr>
            <w:r>
              <w:rPr>
                <w:rFonts w:hint="eastAsia" w:ascii="宋体" w:hAnsi="宋体" w:eastAsia="宋体" w:cs="宋体"/>
                <w:color w:val="auto"/>
                <w:lang w:val="en-US" w:eastAsia="zh-CN"/>
              </w:rPr>
              <w:t>测评</w:t>
            </w:r>
            <w:r>
              <w:rPr>
                <w:rFonts w:hint="eastAsia" w:cs="宋体"/>
                <w:color w:val="auto"/>
                <w:lang w:val="en-US" w:eastAsia="zh-CN"/>
              </w:rPr>
              <w:t>全</w:t>
            </w:r>
            <w:r>
              <w:rPr>
                <w:rFonts w:hint="eastAsia" w:ascii="宋体" w:hAnsi="宋体" w:eastAsia="宋体" w:cs="宋体"/>
                <w:color w:val="auto"/>
              </w:rPr>
              <w:t>过程</w:t>
            </w:r>
            <w:r>
              <w:rPr>
                <w:rFonts w:hint="eastAsia" w:cs="宋体"/>
                <w:color w:val="auto"/>
                <w:lang w:val="en-US" w:eastAsia="zh-CN"/>
              </w:rPr>
              <w:t>应严格按照</w:t>
            </w:r>
            <w:r>
              <w:rPr>
                <w:rFonts w:hint="eastAsia" w:cs="宋体"/>
                <w:color w:val="auto"/>
              </w:rPr>
              <w:t>GB/T 28448、GB/T 28449</w:t>
            </w:r>
            <w:r>
              <w:rPr>
                <w:rFonts w:hint="eastAsia" w:ascii="宋体" w:hAnsi="宋体" w:eastAsia="宋体" w:cs="宋体"/>
                <w:color w:val="auto"/>
              </w:rPr>
              <w:t>国家相关规范及标准</w:t>
            </w:r>
            <w:r>
              <w:rPr>
                <w:rFonts w:hint="eastAsia" w:cs="宋体"/>
                <w:color w:val="auto"/>
                <w:lang w:val="en-US" w:eastAsia="zh-CN"/>
              </w:rPr>
              <w:t>执行</w:t>
            </w:r>
            <w:r>
              <w:rPr>
                <w:rFonts w:hint="eastAsia" w:ascii="宋体" w:hAnsi="宋体" w:eastAsia="宋体" w:cs="宋体"/>
                <w:color w:val="auto"/>
              </w:rPr>
              <w:t>，</w:t>
            </w:r>
            <w:r>
              <w:rPr>
                <w:rFonts w:hint="eastAsia" w:cs="宋体"/>
                <w:color w:val="auto"/>
                <w:lang w:val="en-US" w:eastAsia="zh-CN"/>
              </w:rPr>
              <w:t>综合</w:t>
            </w:r>
            <w:r>
              <w:rPr>
                <w:rFonts w:hint="eastAsia" w:ascii="宋体" w:hAnsi="宋体" w:eastAsia="宋体" w:cs="宋体"/>
                <w:color w:val="auto"/>
              </w:rPr>
              <w:t>采用访谈</w:t>
            </w:r>
            <w:r>
              <w:rPr>
                <w:rFonts w:hint="eastAsia" w:ascii="宋体" w:hAnsi="宋体" w:eastAsia="宋体" w:cs="宋体"/>
                <w:color w:val="auto"/>
                <w:highlight w:val="none"/>
              </w:rPr>
              <w:t>、检查</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测试</w:t>
            </w:r>
            <w:r>
              <w:rPr>
                <w:rFonts w:hint="eastAsia" w:ascii="宋体" w:hAnsi="宋体" w:eastAsia="宋体" w:cs="宋体"/>
                <w:color w:val="auto"/>
                <w:highlight w:val="none"/>
                <w:lang w:val="en-US" w:eastAsia="zh-CN"/>
              </w:rPr>
              <w:t>和渗</w:t>
            </w:r>
            <w:r>
              <w:rPr>
                <w:rFonts w:hint="eastAsia" w:ascii="宋体" w:hAnsi="宋体" w:eastAsia="宋体" w:cs="宋体"/>
                <w:color w:val="auto"/>
                <w:lang w:val="en-US" w:eastAsia="zh-CN"/>
              </w:rPr>
              <w:t>透测试等</w:t>
            </w:r>
            <w:r>
              <w:rPr>
                <w:rFonts w:hint="eastAsia" w:cs="宋体"/>
                <w:color w:val="auto"/>
                <w:lang w:val="en-US" w:eastAsia="zh-CN"/>
              </w:rPr>
              <w:t>标准</w:t>
            </w:r>
            <w:r>
              <w:rPr>
                <w:rFonts w:hint="eastAsia" w:ascii="宋体" w:hAnsi="宋体" w:eastAsia="宋体" w:cs="宋体"/>
                <w:color w:val="auto"/>
              </w:rPr>
              <w:t>测评方法。</w:t>
            </w:r>
            <w:r>
              <w:rPr>
                <w:rFonts w:hint="eastAsia" w:cs="宋体"/>
                <w:color w:val="auto"/>
              </w:rPr>
              <w:t>所有测试操作必须在采购人正式授权、可控运维时段内开展，严禁擅自开展高危测试、越权测试，保障医院业务系统7×24小时稳定运行。</w:t>
            </w:r>
          </w:p>
          <w:p w14:paraId="0A8B7B81">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2" w:firstLineChars="200"/>
              <w:textAlignment w:val="auto"/>
              <w:outlineLvl w:val="9"/>
              <w:rPr>
                <w:rFonts w:hint="eastAsia" w:ascii="宋体" w:hAnsi="宋体" w:eastAsia="宋体" w:cs="宋体"/>
                <w:b w:val="0"/>
                <w:bCs w:val="0"/>
                <w:color w:val="auto"/>
                <w:lang w:eastAsia="zh-CN"/>
              </w:rPr>
            </w:pPr>
            <w:r>
              <w:rPr>
                <w:rFonts w:hint="eastAsia" w:cs="宋体"/>
                <w:b/>
                <w:bCs/>
                <w:color w:val="auto"/>
                <w:lang w:val="en-US" w:eastAsia="zh-CN"/>
              </w:rPr>
              <w:t>1.</w:t>
            </w:r>
            <w:r>
              <w:rPr>
                <w:rFonts w:hint="eastAsia" w:ascii="宋体" w:hAnsi="宋体" w:eastAsia="宋体" w:cs="宋体"/>
                <w:b/>
                <w:bCs/>
                <w:color w:val="auto"/>
              </w:rPr>
              <w:t>访谈</w:t>
            </w:r>
            <w:r>
              <w:rPr>
                <w:rFonts w:hint="eastAsia" w:cs="宋体"/>
                <w:b/>
                <w:bCs/>
                <w:color w:val="auto"/>
                <w:lang w:eastAsia="zh-CN"/>
              </w:rPr>
              <w:t>：</w:t>
            </w:r>
            <w:r>
              <w:rPr>
                <w:rFonts w:hint="eastAsia" w:ascii="宋体" w:hAnsi="宋体" w:eastAsia="宋体" w:cs="宋体"/>
                <w:b w:val="0"/>
                <w:bCs w:val="0"/>
                <w:color w:val="auto"/>
              </w:rPr>
              <w:t>测评人员通过引导信息系统相关人员进行有目的的（有针对性的）交流以帮助测评人员理解、分析或取得证据的过程</w:t>
            </w:r>
            <w:r>
              <w:rPr>
                <w:rFonts w:hint="eastAsia" w:ascii="宋体" w:hAnsi="宋体" w:eastAsia="宋体" w:cs="宋体"/>
                <w:b w:val="0"/>
                <w:bCs w:val="0"/>
                <w:color w:val="auto"/>
                <w:lang w:eastAsia="zh-CN"/>
              </w:rPr>
              <w:t>；</w:t>
            </w:r>
          </w:p>
          <w:p w14:paraId="6997B12C">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2" w:firstLineChars="200"/>
              <w:textAlignment w:val="auto"/>
              <w:outlineLvl w:val="9"/>
              <w:rPr>
                <w:rFonts w:hint="eastAsia" w:ascii="宋体" w:hAnsi="宋体" w:eastAsia="宋体" w:cs="宋体"/>
                <w:b w:val="0"/>
                <w:bCs w:val="0"/>
                <w:color w:val="auto"/>
                <w:lang w:eastAsia="zh-CN"/>
              </w:rPr>
            </w:pPr>
            <w:r>
              <w:rPr>
                <w:rFonts w:hint="eastAsia" w:cs="宋体"/>
                <w:b/>
                <w:bCs/>
                <w:color w:val="auto"/>
                <w:lang w:val="en-US" w:eastAsia="zh-CN"/>
              </w:rPr>
              <w:t>2.</w:t>
            </w:r>
            <w:r>
              <w:rPr>
                <w:rFonts w:hint="eastAsia" w:ascii="宋体" w:hAnsi="宋体" w:eastAsia="宋体" w:cs="宋体"/>
                <w:b/>
                <w:bCs/>
                <w:color w:val="auto"/>
              </w:rPr>
              <w:t>检查</w:t>
            </w:r>
            <w:r>
              <w:rPr>
                <w:rFonts w:hint="eastAsia" w:cs="宋体"/>
                <w:b/>
                <w:bCs/>
                <w:color w:val="auto"/>
                <w:lang w:eastAsia="zh-CN"/>
              </w:rPr>
              <w:t>：</w:t>
            </w:r>
            <w:r>
              <w:rPr>
                <w:rFonts w:hint="eastAsia" w:ascii="宋体" w:hAnsi="宋体" w:eastAsia="宋体" w:cs="宋体"/>
                <w:b w:val="0"/>
                <w:bCs w:val="0"/>
                <w:color w:val="auto"/>
              </w:rPr>
              <w:t>测评人员通过对测评对象（如管理制度、操作记录、安全配置等）进行观察、查验、分析以帮助测评人员理解、分析或取得证据的过程</w:t>
            </w:r>
            <w:r>
              <w:rPr>
                <w:rFonts w:hint="eastAsia" w:ascii="宋体" w:hAnsi="宋体" w:eastAsia="宋体" w:cs="宋体"/>
                <w:b w:val="0"/>
                <w:bCs w:val="0"/>
                <w:color w:val="auto"/>
                <w:lang w:eastAsia="zh-CN"/>
              </w:rPr>
              <w:t>；</w:t>
            </w:r>
          </w:p>
          <w:p w14:paraId="1EEC43CB">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2" w:firstLineChars="200"/>
              <w:textAlignment w:val="auto"/>
              <w:outlineLvl w:val="9"/>
              <w:rPr>
                <w:rFonts w:hint="eastAsia" w:ascii="宋体" w:hAnsi="宋体" w:eastAsia="宋体" w:cs="宋体"/>
                <w:b w:val="0"/>
                <w:bCs w:val="0"/>
                <w:color w:val="auto"/>
                <w:lang w:eastAsia="zh-CN"/>
              </w:rPr>
            </w:pPr>
            <w:r>
              <w:rPr>
                <w:rFonts w:hint="eastAsia" w:cs="宋体"/>
                <w:b/>
                <w:bCs/>
                <w:color w:val="auto"/>
                <w:lang w:val="en-US" w:eastAsia="zh-CN"/>
              </w:rPr>
              <w:t>3.</w:t>
            </w:r>
            <w:r>
              <w:rPr>
                <w:rFonts w:hint="eastAsia" w:ascii="宋体" w:hAnsi="宋体" w:eastAsia="宋体" w:cs="宋体"/>
                <w:b/>
                <w:bCs/>
                <w:color w:val="auto"/>
              </w:rPr>
              <w:t>测试</w:t>
            </w:r>
            <w:r>
              <w:rPr>
                <w:rFonts w:hint="eastAsia" w:cs="宋体"/>
                <w:b/>
                <w:bCs/>
                <w:color w:val="auto"/>
                <w:lang w:eastAsia="zh-CN"/>
              </w:rPr>
              <w:t>：</w:t>
            </w:r>
            <w:r>
              <w:rPr>
                <w:rFonts w:hint="eastAsia" w:ascii="宋体" w:hAnsi="宋体" w:eastAsia="宋体" w:cs="宋体"/>
                <w:b w:val="0"/>
                <w:bCs w:val="0"/>
                <w:color w:val="auto"/>
              </w:rPr>
              <w:t>测评人员使用预定的方法/工具使测评对象产生特定的行为，通过查看和分析结果以帮助测评人员获取证据的过程</w:t>
            </w:r>
            <w:r>
              <w:rPr>
                <w:rFonts w:hint="eastAsia" w:ascii="宋体" w:hAnsi="宋体" w:eastAsia="宋体" w:cs="宋体"/>
                <w:b w:val="0"/>
                <w:bCs w:val="0"/>
                <w:color w:val="auto"/>
                <w:lang w:eastAsia="zh-CN"/>
              </w:rPr>
              <w:t>；</w:t>
            </w:r>
          </w:p>
          <w:p w14:paraId="3283EEFB">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482" w:firstLineChars="200"/>
              <w:textAlignment w:val="auto"/>
              <w:outlineLvl w:val="9"/>
              <w:rPr>
                <w:rFonts w:hint="eastAsia" w:ascii="宋体" w:hAnsi="宋体" w:eastAsia="宋体" w:cs="宋体"/>
                <w:b w:val="0"/>
                <w:bCs w:val="0"/>
                <w:color w:val="auto"/>
              </w:rPr>
            </w:pPr>
            <w:r>
              <w:rPr>
                <w:rFonts w:hint="eastAsia" w:cs="宋体"/>
                <w:b/>
                <w:bCs/>
                <w:color w:val="auto"/>
                <w:lang w:val="en-US" w:eastAsia="zh-CN"/>
              </w:rPr>
              <w:t>4.</w:t>
            </w:r>
            <w:r>
              <w:rPr>
                <w:rFonts w:hint="eastAsia" w:ascii="宋体" w:hAnsi="宋体" w:eastAsia="宋体" w:cs="宋体"/>
                <w:b/>
                <w:bCs/>
                <w:color w:val="auto"/>
                <w:lang w:val="en-US" w:eastAsia="zh-CN"/>
              </w:rPr>
              <w:t>渗透测试</w:t>
            </w:r>
            <w:r>
              <w:rPr>
                <w:rFonts w:hint="eastAsia" w:cs="宋体"/>
                <w:b/>
                <w:bCs/>
                <w:color w:val="auto"/>
                <w:lang w:val="en-US" w:eastAsia="zh-CN"/>
              </w:rPr>
              <w:t>：</w:t>
            </w:r>
            <w:r>
              <w:rPr>
                <w:rFonts w:hint="eastAsia" w:ascii="宋体" w:hAnsi="宋体" w:eastAsia="宋体" w:cs="宋体"/>
                <w:b w:val="0"/>
                <w:bCs w:val="0"/>
                <w:color w:val="auto"/>
                <w:lang w:val="en-US" w:eastAsia="zh-CN"/>
              </w:rPr>
              <w:t>模拟黑客的攻击方法，对受保护对象的应用系统、主机、网络进行攻击，从而验证测评对象的弱点、技术缺陷或漏洞的一种评估方法。</w:t>
            </w:r>
          </w:p>
          <w:p w14:paraId="3866F588">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both"/>
              <w:textAlignment w:val="auto"/>
              <w:outlineLvl w:val="9"/>
              <w:rPr>
                <w:rFonts w:hint="eastAsia" w:cs="宋体"/>
                <w:b/>
                <w:bCs/>
                <w:color w:val="auto"/>
                <w:lang w:val="en-US" w:eastAsia="zh-CN"/>
              </w:rPr>
            </w:pPr>
            <w:r>
              <w:rPr>
                <w:rFonts w:hint="eastAsia" w:ascii="宋体" w:hAnsi="宋体" w:eastAsia="宋体" w:cs="宋体"/>
                <w:b/>
                <w:bCs/>
                <w:color w:val="auto"/>
                <w:sz w:val="24"/>
                <w:szCs w:val="24"/>
                <w:lang w:val="en-US" w:eastAsia="zh-CN"/>
              </w:rPr>
              <w:t>▲</w:t>
            </w:r>
            <w:r>
              <w:rPr>
                <w:rFonts w:hint="eastAsia" w:cs="宋体"/>
                <w:b/>
                <w:bCs/>
                <w:color w:val="auto"/>
                <w:sz w:val="24"/>
                <w:szCs w:val="24"/>
                <w:lang w:val="en-US" w:eastAsia="zh-CN"/>
              </w:rPr>
              <w:t>五</w:t>
            </w:r>
            <w:r>
              <w:rPr>
                <w:rFonts w:hint="eastAsia" w:cs="宋体"/>
                <w:b/>
                <w:bCs/>
                <w:color w:val="auto"/>
                <w:lang w:val="en-US" w:eastAsia="zh-CN"/>
              </w:rPr>
              <w:t>、</w:t>
            </w:r>
            <w:r>
              <w:rPr>
                <w:rFonts w:hint="eastAsia" w:ascii="宋体" w:hAnsi="宋体" w:eastAsia="宋体" w:cs="宋体"/>
                <w:b/>
                <w:bCs/>
                <w:color w:val="auto"/>
                <w:lang w:val="en-US" w:eastAsia="zh-CN"/>
              </w:rPr>
              <w:t>服务成果</w:t>
            </w:r>
            <w:r>
              <w:rPr>
                <w:rFonts w:hint="eastAsia" w:cs="宋体"/>
                <w:b/>
                <w:bCs/>
                <w:color w:val="auto"/>
                <w:lang w:val="en-US" w:eastAsia="zh-CN"/>
              </w:rPr>
              <w:t>与交付要求</w:t>
            </w:r>
          </w:p>
          <w:p w14:paraId="147252A1">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480" w:firstLineChars="200"/>
              <w:jc w:val="left"/>
              <w:textAlignment w:val="auto"/>
              <w:outlineLvl w:val="9"/>
              <w:rPr>
                <w:rFonts w:hint="default" w:cs="宋体"/>
                <w:color w:val="auto"/>
              </w:rPr>
            </w:pPr>
            <w:r>
              <w:rPr>
                <w:rFonts w:hint="default" w:cs="宋体"/>
                <w:color w:val="auto"/>
              </w:rPr>
              <w:t>本项目服务完成后，供应商须向采购人交付全套合规成果文件，所有文件纸质版、电子版齐全，满足备案、督查、归档使用：</w:t>
            </w:r>
          </w:p>
          <w:p w14:paraId="6628C379">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480" w:firstLineChars="200"/>
              <w:jc w:val="left"/>
              <w:textAlignment w:val="auto"/>
              <w:outlineLvl w:val="9"/>
              <w:rPr>
                <w:rFonts w:hint="default" w:cs="宋体"/>
                <w:color w:val="auto"/>
              </w:rPr>
            </w:pPr>
            <w:r>
              <w:rPr>
                <w:rFonts w:hint="default" w:cs="宋体"/>
                <w:color w:val="auto"/>
              </w:rPr>
              <w:t>1.针对互联网医院信息管理系统、医院数据集成平台、医院HIS系统分别出具独立的</w:t>
            </w:r>
            <w:r>
              <w:rPr>
                <w:rFonts w:hint="eastAsia" w:cs="宋体"/>
                <w:color w:val="auto"/>
                <w:lang w:val="en-US" w:eastAsia="zh-CN"/>
              </w:rPr>
              <w:t>3份</w:t>
            </w:r>
            <w:r>
              <w:rPr>
                <w:rFonts w:hint="default" w:cs="宋体"/>
                <w:color w:val="auto"/>
              </w:rPr>
              <w:t>三级等保测评报告、问题清单、漏洞风险清单、合规差距分析、整改建议方案。</w:t>
            </w:r>
          </w:p>
          <w:p w14:paraId="64A9F19F">
            <w:pPr>
              <w:keepNext w:val="0"/>
              <w:keepLines w:val="0"/>
              <w:pageBreakBefore w:val="0"/>
              <w:widowControl/>
              <w:numPr>
                <w:ilvl w:val="-1"/>
                <w:numId w:val="0"/>
              </w:numPr>
              <w:kinsoku/>
              <w:wordWrap/>
              <w:overflowPunct/>
              <w:topLinePunct w:val="0"/>
              <w:autoSpaceDE/>
              <w:autoSpaceDN/>
              <w:bidi w:val="0"/>
              <w:adjustRightInd/>
              <w:snapToGrid/>
              <w:spacing w:line="240" w:lineRule="auto"/>
              <w:ind w:firstLine="480" w:firstLineChars="200"/>
              <w:jc w:val="left"/>
              <w:textAlignment w:val="auto"/>
              <w:outlineLvl w:val="9"/>
              <w:rPr>
                <w:rFonts w:hint="eastAsia" w:cs="宋体"/>
                <w:b w:val="0"/>
                <w:bCs w:val="0"/>
                <w:color w:val="auto"/>
                <w:lang w:val="en-US" w:eastAsia="zh-CN"/>
              </w:rPr>
            </w:pPr>
            <w:r>
              <w:rPr>
                <w:rFonts w:hint="default" w:cs="宋体"/>
                <w:color w:val="auto"/>
              </w:rPr>
              <w:t>2.出具项目整体测评汇总报告、测评工作台账、证据材料汇编、测评过程资料。</w:t>
            </w:r>
          </w:p>
          <w:p w14:paraId="605244B6">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rPr>
            </w:pPr>
            <w:r>
              <w:rPr>
                <w:rFonts w:hint="eastAsia" w:cs="宋体"/>
                <w:color w:val="auto"/>
                <w:lang w:val="en-US" w:eastAsia="zh-CN"/>
              </w:rPr>
              <w:t>3.所有成果文件严格</w:t>
            </w:r>
            <w:r>
              <w:rPr>
                <w:rFonts w:hint="eastAsia" w:ascii="宋体" w:hAnsi="宋体" w:eastAsia="宋体" w:cs="宋体"/>
                <w:color w:val="auto"/>
                <w:lang w:val="en-US" w:eastAsia="zh-CN"/>
              </w:rPr>
              <w:t>符合</w:t>
            </w:r>
            <w:r>
              <w:rPr>
                <w:rFonts w:hint="eastAsia" w:ascii="宋体" w:hAnsi="宋体" w:eastAsia="宋体" w:cs="宋体"/>
                <w:color w:val="000000"/>
                <w:szCs w:val="24"/>
              </w:rPr>
              <w:t>《信息安全技术-网络安全等级保护基本要求》（GB/T 22239-2019）</w:t>
            </w:r>
            <w:r>
              <w:rPr>
                <w:rFonts w:hint="eastAsia" w:cs="宋体"/>
                <w:color w:val="000000"/>
                <w:szCs w:val="24"/>
                <w:lang w:eastAsia="zh-CN"/>
              </w:rPr>
              <w:t>、</w:t>
            </w:r>
            <w:r>
              <w:rPr>
                <w:rFonts w:hint="eastAsia" w:cs="宋体"/>
                <w:color w:val="000000"/>
                <w:szCs w:val="24"/>
              </w:rPr>
              <w:t>GB/T 28448-2019</w:t>
            </w:r>
            <w:r>
              <w:rPr>
                <w:rFonts w:hint="eastAsia"/>
                <w:lang w:val="en-US" w:eastAsia="zh-CN"/>
              </w:rPr>
              <w:t>国家规范，格式规范、内容完整，可直接用于</w:t>
            </w:r>
            <w:r>
              <w:rPr>
                <w:rFonts w:hint="eastAsia" w:ascii="宋体" w:hAnsi="宋体" w:eastAsia="宋体" w:cs="宋体"/>
                <w:color w:val="auto"/>
                <w:lang w:val="en-US" w:eastAsia="zh-CN"/>
              </w:rPr>
              <w:t>公安机关</w:t>
            </w:r>
            <w:r>
              <w:rPr>
                <w:rFonts w:hint="eastAsia" w:cs="宋体"/>
                <w:color w:val="auto"/>
                <w:lang w:val="en-US" w:eastAsia="zh-CN"/>
              </w:rPr>
              <w:t>等级保护备案。</w:t>
            </w:r>
          </w:p>
          <w:p w14:paraId="0CE9F7E4">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rPr>
            </w:pPr>
            <w:r>
              <w:rPr>
                <w:rFonts w:hint="eastAsia" w:cs="宋体"/>
                <w:color w:val="auto"/>
              </w:rPr>
              <w:t>4.针对测评发现的高危、中危漏洞，提供专项整改指导服务，配合采购人及承建单位完成漏洞整改、复测验证，直至合规闭环。</w:t>
            </w:r>
          </w:p>
        </w:tc>
      </w:tr>
    </w:tbl>
    <w:p w14:paraId="2D4035C1">
      <w:pPr>
        <w:numPr>
          <w:ilvl w:val="0"/>
          <w:numId w:val="0"/>
        </w:numPr>
        <w:adjustRightInd w:val="0"/>
        <w:snapToGrid w:val="0"/>
        <w:spacing w:line="520" w:lineRule="exact"/>
        <w:ind w:left="0" w:leftChars="0" w:firstLine="482" w:firstLineChars="200"/>
      </w:pPr>
      <w:r>
        <w:rPr>
          <w:rFonts w:hint="eastAsia" w:ascii="宋体" w:hAnsi="宋体" w:eastAsia="宋体" w:cs="宋体"/>
          <w:b/>
          <w:bCs/>
          <w:color w:val="000000"/>
          <w:sz w:val="24"/>
          <w:lang w:val="en-US" w:eastAsia="zh-CN"/>
        </w:rPr>
        <w:t>（二）商务需求</w:t>
      </w:r>
    </w:p>
    <w:tbl>
      <w:tblPr>
        <w:tblStyle w:val="20"/>
        <w:tblW w:w="8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411"/>
        <w:gridCol w:w="6803"/>
      </w:tblGrid>
      <w:tr w14:paraId="641A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4" w:type="dxa"/>
            <w:shd w:val="clear" w:color="auto" w:fill="F1F1F1"/>
            <w:noWrap w:val="0"/>
            <w:vAlign w:val="center"/>
          </w:tcPr>
          <w:p w14:paraId="57C763C8">
            <w:pPr>
              <w:keepNext w:val="0"/>
              <w:keepLines w:val="0"/>
              <w:pageBreakBefore w:val="0"/>
              <w:kinsoku/>
              <w:overflowPunct/>
              <w:topLinePunct w:val="0"/>
              <w:bidi w:val="0"/>
              <w:adjustRightInd w:val="0"/>
              <w:snapToGrid w:val="0"/>
              <w:spacing w:before="0" w:beforeAutospacing="0" w:after="0" w:afterAutospacing="0" w:line="240" w:lineRule="auto"/>
              <w:jc w:val="center"/>
              <w:textAlignment w:val="auto"/>
              <w:rPr>
                <w:rFonts w:hint="eastAsia" w:ascii="宋体" w:hAnsi="宋体" w:eastAsia="宋体" w:cs="宋体"/>
                <w:b w:val="0"/>
                <w:color w:val="auto"/>
                <w:sz w:val="24"/>
                <w:szCs w:val="24"/>
              </w:rPr>
            </w:pPr>
            <w:r>
              <w:rPr>
                <w:rFonts w:hint="eastAsia" w:ascii="宋体" w:hAnsi="宋体" w:eastAsia="宋体" w:cs="宋体"/>
                <w:b w:val="0"/>
                <w:i w:val="0"/>
                <w:caps w:val="0"/>
                <w:color w:val="auto"/>
                <w:spacing w:val="0"/>
                <w:w w:val="100"/>
                <w:sz w:val="24"/>
                <w:szCs w:val="24"/>
                <w:lang w:val="en-US" w:eastAsia="zh-CN"/>
              </w:rPr>
              <w:t>序号</w:t>
            </w:r>
          </w:p>
        </w:tc>
        <w:tc>
          <w:tcPr>
            <w:tcW w:w="1411" w:type="dxa"/>
            <w:shd w:val="clear" w:color="auto" w:fill="F1F1F1"/>
            <w:noWrap w:val="0"/>
            <w:vAlign w:val="center"/>
          </w:tcPr>
          <w:p w14:paraId="346B191D">
            <w:pPr>
              <w:keepNext w:val="0"/>
              <w:keepLines w:val="0"/>
              <w:pageBreakBefore w:val="0"/>
              <w:kinsoku/>
              <w:overflowPunct/>
              <w:topLinePunct w:val="0"/>
              <w:bidi w:val="0"/>
              <w:adjustRightInd w:val="0"/>
              <w:snapToGrid w:val="0"/>
              <w:spacing w:before="0" w:beforeAutospacing="0" w:after="0" w:afterAutospacing="0" w:line="240" w:lineRule="auto"/>
              <w:jc w:val="center"/>
              <w:textAlignment w:val="auto"/>
              <w:rPr>
                <w:rFonts w:hint="eastAsia" w:ascii="宋体" w:hAnsi="宋体" w:eastAsia="宋体" w:cs="宋体"/>
                <w:color w:val="auto"/>
                <w:sz w:val="24"/>
                <w:szCs w:val="24"/>
              </w:rPr>
            </w:pPr>
            <w:r>
              <w:rPr>
                <w:rFonts w:hint="eastAsia" w:ascii="宋体" w:hAnsi="宋体" w:eastAsia="宋体" w:cs="宋体"/>
                <w:b w:val="0"/>
                <w:i w:val="0"/>
                <w:caps w:val="0"/>
                <w:color w:val="auto"/>
                <w:spacing w:val="0"/>
                <w:w w:val="100"/>
                <w:sz w:val="24"/>
                <w:szCs w:val="24"/>
                <w:lang w:val="en-US" w:eastAsia="zh-CN"/>
              </w:rPr>
              <w:t>商务条款</w:t>
            </w:r>
          </w:p>
        </w:tc>
        <w:tc>
          <w:tcPr>
            <w:tcW w:w="6803" w:type="dxa"/>
            <w:shd w:val="clear" w:color="auto" w:fill="F1F1F1"/>
            <w:noWrap w:val="0"/>
            <w:vAlign w:val="center"/>
          </w:tcPr>
          <w:p w14:paraId="38987713">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center"/>
              <w:textAlignment w:val="auto"/>
              <w:rPr>
                <w:rFonts w:hint="eastAsia" w:ascii="宋体" w:hAnsi="宋体" w:eastAsia="宋体" w:cs="宋体"/>
                <w:b w:val="0"/>
                <w:color w:val="auto"/>
                <w:sz w:val="24"/>
                <w:szCs w:val="24"/>
              </w:rPr>
            </w:pPr>
            <w:r>
              <w:rPr>
                <w:rFonts w:hint="eastAsia" w:ascii="宋体" w:hAnsi="宋体" w:eastAsia="宋体" w:cs="宋体"/>
                <w:b w:val="0"/>
                <w:bCs w:val="0"/>
                <w:color w:val="auto"/>
                <w:sz w:val="24"/>
                <w:szCs w:val="24"/>
                <w:u w:val="none"/>
                <w:lang w:val="en-US" w:eastAsia="zh-CN"/>
              </w:rPr>
              <w:t>具体要求</w:t>
            </w:r>
          </w:p>
        </w:tc>
      </w:tr>
      <w:tr w14:paraId="360C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4" w:type="dxa"/>
            <w:noWrap w:val="0"/>
            <w:vAlign w:val="center"/>
          </w:tcPr>
          <w:p w14:paraId="5EA256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411" w:type="dxa"/>
            <w:noWrap w:val="0"/>
            <w:vAlign w:val="center"/>
          </w:tcPr>
          <w:p w14:paraId="1EB412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资质要求</w:t>
            </w:r>
          </w:p>
        </w:tc>
        <w:tc>
          <w:tcPr>
            <w:tcW w:w="6803" w:type="dxa"/>
            <w:noWrap w:val="0"/>
            <w:vAlign w:val="center"/>
          </w:tcPr>
          <w:p w14:paraId="7C0ABCE3">
            <w:pPr>
              <w:keepNext w:val="0"/>
              <w:keepLines w:val="0"/>
              <w:pageBreakBefore w:val="0"/>
              <w:widowControl w:val="0"/>
              <w:numPr>
                <w:ilvl w:val="-1"/>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必须</w:t>
            </w:r>
            <w:r>
              <w:rPr>
                <w:rFonts w:hint="eastAsia" w:ascii="宋体" w:hAnsi="宋体" w:eastAsia="宋体" w:cs="宋体"/>
                <w:color w:val="auto"/>
                <w:sz w:val="24"/>
                <w:szCs w:val="24"/>
                <w:lang w:val="en-US" w:eastAsia="zh-CN"/>
              </w:rPr>
              <w:t>具备公安部第三研究所认证颁发的《网络安全服务认证证书等级保护测评服务认证》</w:t>
            </w:r>
            <w:r>
              <w:rPr>
                <w:rFonts w:hint="eastAsia" w:ascii="宋体" w:hAnsi="宋体" w:eastAsia="宋体" w:cs="宋体"/>
                <w:color w:val="auto"/>
                <w:sz w:val="24"/>
                <w:szCs w:val="24"/>
                <w:lang w:eastAsia="zh-CN"/>
              </w:rPr>
              <w:t>。</w:t>
            </w:r>
          </w:p>
          <w:p w14:paraId="74B22834">
            <w:pPr>
              <w:numPr>
                <w:ilvl w:val="-1"/>
                <w:numId w:val="0"/>
              </w:numPr>
              <w:adjustRightInd w:val="0"/>
              <w:snapToGrid w:val="0"/>
              <w:spacing w:line="240" w:lineRule="auto"/>
              <w:jc w:val="left"/>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sz w:val="24"/>
                <w:szCs w:val="24"/>
                <w:lang w:eastAsia="zh-CN"/>
              </w:rPr>
              <w:t>供应商</w:t>
            </w:r>
            <w:r>
              <w:rPr>
                <w:rFonts w:hint="eastAsia" w:ascii="宋体" w:hAnsi="宋体" w:eastAsia="宋体" w:cs="宋体"/>
                <w:b w:val="0"/>
                <w:bCs w:val="0"/>
                <w:color w:val="auto"/>
                <w:sz w:val="24"/>
                <w:szCs w:val="24"/>
              </w:rPr>
              <w:t>为本项目配备的项目经理</w:t>
            </w:r>
            <w:r>
              <w:rPr>
                <w:rFonts w:hint="eastAsia" w:ascii="宋体" w:hAnsi="宋体" w:eastAsia="宋体" w:cs="宋体"/>
                <w:b w:val="0"/>
                <w:bCs w:val="0"/>
                <w:color w:val="auto"/>
                <w:sz w:val="24"/>
                <w:szCs w:val="24"/>
                <w:lang w:val="en-US" w:eastAsia="zh-CN"/>
              </w:rPr>
              <w:t>需具备</w:t>
            </w:r>
            <w:r>
              <w:rPr>
                <w:rFonts w:hint="eastAsia" w:ascii="宋体" w:hAnsi="宋体" w:eastAsia="宋体" w:cs="宋体"/>
                <w:b w:val="0"/>
                <w:bCs w:val="0"/>
                <w:color w:val="auto"/>
                <w:sz w:val="24"/>
                <w:szCs w:val="24"/>
              </w:rPr>
              <w:t>网络安全等级测评师证书</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高级</w:t>
            </w:r>
            <w:r>
              <w:rPr>
                <w:rFonts w:hint="eastAsia" w:ascii="宋体" w:hAnsi="宋体" w:eastAsia="宋体" w:cs="宋体"/>
                <w:b w:val="0"/>
                <w:bCs w:val="0"/>
                <w:color w:val="auto"/>
                <w:sz w:val="24"/>
                <w:szCs w:val="24"/>
                <w:lang w:eastAsia="zh-CN"/>
              </w:rPr>
              <w:t>）</w:t>
            </w:r>
          </w:p>
          <w:p w14:paraId="25D9A189">
            <w:pPr>
              <w:numPr>
                <w:ilvl w:val="-1"/>
                <w:numId w:val="0"/>
              </w:numPr>
              <w:adjustRightInd w:val="0"/>
              <w:snapToGrid w:val="0"/>
              <w:spacing w:line="240" w:lineRule="auto"/>
              <w:jc w:val="left"/>
              <w:rPr>
                <w:rFonts w:hint="eastAsia" w:ascii="宋体" w:hAnsi="宋体" w:eastAsia="宋体" w:cs="宋体"/>
                <w:color w:val="auto"/>
                <w:lang w:val="en-US" w:eastAsia="zh-CN"/>
              </w:rPr>
            </w:pPr>
            <w:r>
              <w:rPr>
                <w:rFonts w:hint="eastAsia" w:ascii="宋体" w:hAnsi="宋体" w:eastAsia="宋体" w:cs="宋体"/>
                <w:b w:val="0"/>
                <w:bCs w:val="0"/>
                <w:color w:val="auto"/>
                <w:sz w:val="24"/>
                <w:szCs w:val="24"/>
                <w:lang w:val="en-US" w:eastAsia="zh-CN"/>
              </w:rPr>
              <w:t>3、</w:t>
            </w:r>
            <w:r>
              <w:rPr>
                <w:rFonts w:hint="eastAsia" w:ascii="宋体" w:hAnsi="宋体" w:eastAsia="宋体" w:cs="宋体"/>
                <w:b w:val="0"/>
                <w:bCs w:val="0"/>
                <w:color w:val="auto"/>
                <w:sz w:val="24"/>
                <w:szCs w:val="24"/>
                <w:lang w:eastAsia="zh-CN"/>
              </w:rPr>
              <w:t>供应商</w:t>
            </w:r>
            <w:r>
              <w:rPr>
                <w:rFonts w:hint="eastAsia" w:ascii="宋体" w:hAnsi="宋体" w:eastAsia="宋体" w:cs="宋体"/>
                <w:b w:val="0"/>
                <w:bCs w:val="0"/>
                <w:color w:val="auto"/>
                <w:sz w:val="24"/>
                <w:szCs w:val="24"/>
              </w:rPr>
              <w:t>为本项目配备的</w:t>
            </w:r>
            <w:r>
              <w:rPr>
                <w:rFonts w:hint="eastAsia" w:cs="宋体"/>
                <w:b w:val="0"/>
                <w:bCs w:val="0"/>
                <w:color w:val="auto"/>
                <w:sz w:val="24"/>
                <w:szCs w:val="24"/>
                <w:lang w:val="en-US" w:eastAsia="zh-CN"/>
              </w:rPr>
              <w:t>所有</w:t>
            </w:r>
            <w:r>
              <w:rPr>
                <w:rFonts w:hint="eastAsia" w:ascii="宋体" w:hAnsi="宋体" w:eastAsia="宋体" w:cs="宋体"/>
                <w:b w:val="0"/>
                <w:bCs w:val="0"/>
                <w:color w:val="auto"/>
                <w:sz w:val="24"/>
                <w:szCs w:val="24"/>
                <w:lang w:val="en-US" w:eastAsia="zh-CN"/>
              </w:rPr>
              <w:t>实施</w:t>
            </w:r>
            <w:r>
              <w:rPr>
                <w:rFonts w:hint="eastAsia" w:ascii="宋体" w:hAnsi="宋体" w:eastAsia="宋体" w:cs="宋体"/>
                <w:b w:val="0"/>
                <w:bCs w:val="0"/>
                <w:color w:val="auto"/>
                <w:sz w:val="24"/>
                <w:szCs w:val="24"/>
              </w:rPr>
              <w:t>人员（不含项目经理）</w:t>
            </w:r>
            <w:r>
              <w:rPr>
                <w:rFonts w:hint="eastAsia" w:ascii="宋体" w:hAnsi="宋体" w:eastAsia="宋体" w:cs="宋体"/>
                <w:b w:val="0"/>
                <w:bCs w:val="0"/>
                <w:color w:val="auto"/>
                <w:sz w:val="24"/>
                <w:szCs w:val="24"/>
                <w:lang w:val="en-US" w:eastAsia="zh-CN"/>
              </w:rPr>
              <w:t>需具备网络安全等级测评师证书</w:t>
            </w:r>
          </w:p>
        </w:tc>
      </w:tr>
      <w:tr w14:paraId="04B3B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4" w:type="dxa"/>
            <w:noWrap w:val="0"/>
            <w:vAlign w:val="center"/>
          </w:tcPr>
          <w:p w14:paraId="6BBA03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411" w:type="dxa"/>
            <w:noWrap w:val="0"/>
            <w:vAlign w:val="center"/>
          </w:tcPr>
          <w:p w14:paraId="38FB80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服务</w:t>
            </w:r>
            <w:r>
              <w:rPr>
                <w:rFonts w:hint="eastAsia" w:ascii="宋体" w:hAnsi="宋体" w:eastAsia="宋体" w:cs="宋体"/>
                <w:color w:val="auto"/>
                <w:sz w:val="24"/>
                <w:szCs w:val="24"/>
              </w:rPr>
              <w:t>期限</w:t>
            </w:r>
          </w:p>
          <w:p w14:paraId="2FB8FE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及服务地点</w:t>
            </w:r>
          </w:p>
        </w:tc>
        <w:tc>
          <w:tcPr>
            <w:tcW w:w="6803" w:type="dxa"/>
            <w:noWrap w:val="0"/>
            <w:vAlign w:val="center"/>
          </w:tcPr>
          <w:p w14:paraId="2BBA0A52">
            <w:pPr>
              <w:keepNext w:val="0"/>
              <w:keepLines w:val="0"/>
              <w:pageBreakBefore w:val="0"/>
              <w:widowControl w:val="0"/>
              <w:numPr>
                <w:ilvl w:val="-1"/>
                <w:numId w:val="0"/>
              </w:numPr>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服务期限：</w:t>
            </w:r>
          </w:p>
          <w:p w14:paraId="22313477">
            <w:pPr>
              <w:keepNext w:val="0"/>
              <w:keepLines w:val="0"/>
              <w:pageBreakBefore w:val="0"/>
              <w:widowControl w:val="0"/>
              <w:numPr>
                <w:ilvl w:val="-1"/>
                <w:numId w:val="0"/>
              </w:numPr>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u w:val="none"/>
                <w:vertAlign w:val="baseline"/>
                <w:lang w:val="en-US" w:eastAsia="zh-CN"/>
              </w:rPr>
            </w:pPr>
            <w:r>
              <w:rPr>
                <w:rFonts w:hint="eastAsia" w:ascii="宋体" w:hAnsi="宋体" w:eastAsia="宋体" w:cs="宋体"/>
                <w:color w:val="auto"/>
                <w:sz w:val="24"/>
                <w:szCs w:val="24"/>
                <w:u w:val="none"/>
                <w:vertAlign w:val="baseline"/>
                <w:lang w:val="en-US" w:eastAsia="zh-CN"/>
              </w:rPr>
              <w:t>1.自采购人书面通知服务开始之日起5个工作日内完成差距分析工作;</w:t>
            </w:r>
          </w:p>
          <w:p w14:paraId="00FBB65E">
            <w:pPr>
              <w:keepNext w:val="0"/>
              <w:keepLines w:val="0"/>
              <w:pageBreakBefore w:val="0"/>
              <w:widowControl w:val="0"/>
              <w:numPr>
                <w:ilvl w:val="-1"/>
                <w:numId w:val="0"/>
              </w:numPr>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u w:val="none"/>
                <w:vertAlign w:val="baseline"/>
                <w:lang w:val="en-US" w:eastAsia="zh-CN"/>
              </w:rPr>
            </w:pPr>
            <w:r>
              <w:rPr>
                <w:rFonts w:hint="eastAsia" w:ascii="宋体" w:hAnsi="宋体" w:eastAsia="宋体" w:cs="宋体"/>
                <w:color w:val="auto"/>
                <w:sz w:val="24"/>
                <w:szCs w:val="24"/>
                <w:u w:val="none"/>
                <w:vertAlign w:val="baseline"/>
                <w:lang w:val="en-US" w:eastAsia="zh-CN"/>
              </w:rPr>
              <w:t>2.供应商在差距分析结束后15个工作日内提供差距分析报告;</w:t>
            </w:r>
          </w:p>
          <w:p w14:paraId="0D44AFEF">
            <w:pPr>
              <w:keepNext w:val="0"/>
              <w:keepLines w:val="0"/>
              <w:pageBreakBefore w:val="0"/>
              <w:widowControl w:val="0"/>
              <w:numPr>
                <w:ilvl w:val="-1"/>
                <w:numId w:val="0"/>
              </w:numPr>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u w:val="none"/>
                <w:vertAlign w:val="baseline"/>
                <w:lang w:val="en-US" w:eastAsia="zh-CN"/>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u w:val="none"/>
                <w:vertAlign w:val="baseline"/>
                <w:lang w:val="en-US" w:eastAsia="zh-CN"/>
              </w:rPr>
              <w:t>3.采购人根据差距分析报告进行整改，整改完成后采购人书面通知采购人开展现场测评，供应商应在5个工作日内完成现场测评工作。(整改工作应在出具差距分析报告之日起60个日历日内完成，若逾期未能完成整改的，供应商将直接出具该项目的网络安全等级保护测评报告，项目完结)</w:t>
            </w:r>
          </w:p>
          <w:p w14:paraId="6A6AC558">
            <w:pPr>
              <w:keepNext w:val="0"/>
              <w:keepLines w:val="0"/>
              <w:pageBreakBefore w:val="0"/>
              <w:widowControl w:val="0"/>
              <w:numPr>
                <w:ilvl w:val="-1"/>
                <w:numId w:val="0"/>
              </w:numPr>
              <w:kinsoku/>
              <w:wordWrap/>
              <w:overflowPunct/>
              <w:topLinePunct w:val="0"/>
              <w:autoSpaceDE/>
              <w:autoSpaceDN/>
              <w:bidi w:val="0"/>
              <w:adjustRightInd w:val="0"/>
              <w:snapToGrid w:val="0"/>
              <w:spacing w:line="240" w:lineRule="auto"/>
              <w:ind w:right="0" w:rightChars="0"/>
              <w:jc w:val="left"/>
              <w:textAlignment w:val="auto"/>
              <w:outlineLvl w:val="9"/>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u w:val="none"/>
                <w:vertAlign w:val="baseline"/>
                <w:lang w:val="en-US" w:eastAsia="zh-CN"/>
              </w:rPr>
              <w:t>4.供应商完成现场测评后20个工作日内，出具该项目的网络安全等级保护测评报告。</w:t>
            </w:r>
          </w:p>
          <w:p w14:paraId="6D85E0B4">
            <w:pPr>
              <w:numPr>
                <w:ilvl w:val="0"/>
                <w:numId w:val="0"/>
              </w:numPr>
              <w:adjustRightInd w:val="0"/>
              <w:snapToGrid w:val="0"/>
              <w:spacing w:line="240" w:lineRule="auto"/>
              <w:jc w:val="left"/>
              <w:outlineLvl w:val="9"/>
              <w:rPr>
                <w:rFonts w:hint="eastAsia" w:ascii="宋体" w:hAnsi="宋体" w:eastAsia="宋体" w:cs="宋体"/>
                <w:b/>
                <w:bCs/>
                <w:color w:val="auto"/>
                <w:sz w:val="24"/>
                <w:szCs w:val="24"/>
                <w:u w:val="none"/>
              </w:rPr>
            </w:pPr>
            <w:r>
              <w:rPr>
                <w:rFonts w:hint="eastAsia" w:ascii="宋体" w:hAnsi="宋体" w:eastAsia="宋体" w:cs="宋体"/>
                <w:b/>
                <w:bCs/>
                <w:color w:val="auto"/>
                <w:sz w:val="24"/>
                <w:szCs w:val="24"/>
                <w:u w:val="none"/>
              </w:rPr>
              <w:t>服务地点：</w:t>
            </w:r>
          </w:p>
          <w:p w14:paraId="657E08A0">
            <w:pPr>
              <w:numPr>
                <w:ilvl w:val="0"/>
                <w:numId w:val="0"/>
              </w:numPr>
              <w:adjustRightInd w:val="0"/>
              <w:snapToGrid w:val="0"/>
              <w:spacing w:line="240" w:lineRule="auto"/>
              <w:jc w:val="left"/>
              <w:outlineLvl w:val="9"/>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u w:val="none"/>
                <w:lang w:val="en-US" w:eastAsia="zh-CN"/>
              </w:rPr>
              <w:t>广西壮族自治区内</w:t>
            </w:r>
            <w:r>
              <w:rPr>
                <w:rFonts w:hint="eastAsia" w:ascii="宋体" w:hAnsi="宋体" w:eastAsia="宋体" w:cs="宋体"/>
                <w:color w:val="auto"/>
                <w:sz w:val="24"/>
                <w:szCs w:val="24"/>
                <w:u w:val="none"/>
              </w:rPr>
              <w:t>采购人指定地点。</w:t>
            </w:r>
          </w:p>
        </w:tc>
      </w:tr>
      <w:tr w14:paraId="4DA2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4" w:type="dxa"/>
            <w:shd w:val="clear" w:color="auto" w:fill="auto"/>
            <w:noWrap w:val="0"/>
            <w:vAlign w:val="center"/>
          </w:tcPr>
          <w:p w14:paraId="2F97C221">
            <w:pPr>
              <w:keepNext w:val="0"/>
              <w:keepLines w:val="0"/>
              <w:pageBreakBefore w:val="0"/>
              <w:kinsoku/>
              <w:overflowPunct/>
              <w:topLinePunct w:val="0"/>
              <w:bidi w:val="0"/>
              <w:adjustRightInd w:val="0"/>
              <w:snapToGrid w:val="0"/>
              <w:spacing w:before="0" w:beforeAutospacing="0" w:after="0" w:afterAutospacing="0" w:line="240" w:lineRule="auto"/>
              <w:jc w:val="center"/>
              <w:textAlignment w:val="auto"/>
              <w:rPr>
                <w:rFonts w:hint="eastAsia" w:ascii="宋体" w:hAnsi="宋体" w:eastAsia="宋体" w:cs="宋体"/>
                <w:b w:val="0"/>
                <w:i w:val="0"/>
                <w:caps w:val="0"/>
                <w:color w:val="auto"/>
                <w:spacing w:val="0"/>
                <w:w w:val="100"/>
                <w:sz w:val="24"/>
                <w:szCs w:val="24"/>
                <w:lang w:val="en-US" w:eastAsia="zh-CN"/>
              </w:rPr>
            </w:pPr>
            <w:r>
              <w:rPr>
                <w:rFonts w:hint="eastAsia" w:ascii="宋体" w:hAnsi="宋体" w:eastAsia="宋体" w:cs="宋体"/>
                <w:b w:val="0"/>
                <w:i w:val="0"/>
                <w:caps w:val="0"/>
                <w:color w:val="auto"/>
                <w:spacing w:val="0"/>
                <w:w w:val="100"/>
                <w:sz w:val="24"/>
                <w:szCs w:val="24"/>
                <w:lang w:val="en-US" w:eastAsia="zh-CN"/>
              </w:rPr>
              <w:t>3</w:t>
            </w:r>
          </w:p>
        </w:tc>
        <w:tc>
          <w:tcPr>
            <w:tcW w:w="1411" w:type="dxa"/>
            <w:shd w:val="clear" w:color="auto" w:fill="auto"/>
            <w:noWrap w:val="0"/>
            <w:vAlign w:val="center"/>
          </w:tcPr>
          <w:p w14:paraId="3C526D63">
            <w:pPr>
              <w:keepNext w:val="0"/>
              <w:keepLines w:val="0"/>
              <w:pageBreakBefore w:val="0"/>
              <w:kinsoku/>
              <w:overflowPunct/>
              <w:topLinePunct w:val="0"/>
              <w:bidi w:val="0"/>
              <w:adjustRightInd w:val="0"/>
              <w:snapToGrid w:val="0"/>
              <w:spacing w:before="0" w:beforeAutospacing="0" w:after="0" w:afterAutospacing="0" w:line="240" w:lineRule="auto"/>
              <w:jc w:val="center"/>
              <w:textAlignment w:val="auto"/>
              <w:rPr>
                <w:rFonts w:hint="eastAsia" w:ascii="宋体" w:hAnsi="宋体" w:eastAsia="宋体" w:cs="宋体"/>
                <w:b w:val="0"/>
                <w:i w:val="0"/>
                <w:caps w:val="0"/>
                <w:color w:val="auto"/>
                <w:spacing w:val="0"/>
                <w:w w:val="100"/>
                <w:kern w:val="2"/>
                <w:sz w:val="24"/>
                <w:szCs w:val="24"/>
                <w:lang w:val="en-US" w:eastAsia="zh-CN" w:bidi="ar-SA"/>
              </w:rPr>
            </w:pPr>
            <w:r>
              <w:rPr>
                <w:rFonts w:hint="eastAsia" w:ascii="宋体" w:hAnsi="宋体" w:eastAsia="宋体" w:cs="宋体"/>
                <w:b w:val="0"/>
                <w:i w:val="0"/>
                <w:caps w:val="0"/>
                <w:color w:val="auto"/>
                <w:spacing w:val="0"/>
                <w:w w:val="100"/>
                <w:sz w:val="24"/>
                <w:szCs w:val="24"/>
                <w:lang w:val="en-US" w:eastAsia="zh-CN"/>
              </w:rPr>
              <w:t>响应报价</w:t>
            </w:r>
          </w:p>
        </w:tc>
        <w:tc>
          <w:tcPr>
            <w:tcW w:w="6803" w:type="dxa"/>
            <w:shd w:val="clear" w:color="auto" w:fill="auto"/>
            <w:noWrap w:val="0"/>
            <w:vAlign w:val="center"/>
          </w:tcPr>
          <w:p w14:paraId="387851E5">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left"/>
              <w:textAlignment w:val="auto"/>
              <w:rPr>
                <w:rFonts w:hint="eastAsia" w:ascii="宋体" w:hAnsi="宋体" w:eastAsia="宋体" w:cs="宋体"/>
                <w:b w:val="0"/>
                <w:bCs w:val="0"/>
                <w:color w:val="auto"/>
                <w:kern w:val="2"/>
                <w:sz w:val="24"/>
                <w:szCs w:val="24"/>
                <w:u w:val="none"/>
                <w:lang w:val="en-US" w:eastAsia="zh-CN" w:bidi="ar-SA"/>
              </w:rPr>
            </w:pPr>
            <w:r>
              <w:rPr>
                <w:rFonts w:hint="eastAsia" w:ascii="宋体" w:hAnsi="宋体" w:eastAsia="宋体" w:cs="宋体"/>
                <w:bCs w:val="0"/>
                <w:color w:val="auto"/>
                <w:kern w:val="2"/>
                <w:sz w:val="24"/>
                <w:szCs w:val="24"/>
                <w:lang w:val="en-US" w:eastAsia="zh-CN"/>
              </w:rPr>
              <w:t>响应</w:t>
            </w:r>
            <w:r>
              <w:rPr>
                <w:rFonts w:hint="eastAsia" w:ascii="宋体" w:hAnsi="宋体" w:eastAsia="宋体" w:cs="宋体"/>
                <w:bCs w:val="0"/>
                <w:color w:val="auto"/>
                <w:kern w:val="2"/>
                <w:sz w:val="24"/>
                <w:szCs w:val="24"/>
              </w:rPr>
              <w:t>报价必须包括</w:t>
            </w:r>
            <w:r>
              <w:rPr>
                <w:rFonts w:hint="eastAsia" w:ascii="宋体" w:hAnsi="宋体" w:eastAsia="宋体" w:cs="宋体"/>
                <w:color w:val="auto"/>
                <w:sz w:val="24"/>
                <w:szCs w:val="24"/>
              </w:rPr>
              <w:t>有关本项目实施所需的方案设计费、设备购置费、运输费、安装调试费、工程配合费、培训费、售后服务及维护费、税金等所涉及的一切费用均计入报价。</w:t>
            </w:r>
          </w:p>
        </w:tc>
      </w:tr>
      <w:tr w14:paraId="4D41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4" w:type="dxa"/>
            <w:noWrap w:val="0"/>
            <w:vAlign w:val="center"/>
          </w:tcPr>
          <w:p w14:paraId="1EB8D023">
            <w:pPr>
              <w:keepNext w:val="0"/>
              <w:keepLines w:val="0"/>
              <w:pageBreakBefore w:val="0"/>
              <w:kinsoku/>
              <w:overflowPunct/>
              <w:topLinePunct w:val="0"/>
              <w:bidi w:val="0"/>
              <w:adjustRightInd w:val="0"/>
              <w:snapToGrid w:val="0"/>
              <w:spacing w:before="0" w:beforeAutospacing="0" w:after="0" w:afterAutospacing="0" w:line="240" w:lineRule="auto"/>
              <w:jc w:val="center"/>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4</w:t>
            </w:r>
          </w:p>
        </w:tc>
        <w:tc>
          <w:tcPr>
            <w:tcW w:w="1411" w:type="dxa"/>
            <w:noWrap w:val="0"/>
            <w:vAlign w:val="center"/>
          </w:tcPr>
          <w:p w14:paraId="276A0E9C">
            <w:pPr>
              <w:keepNext w:val="0"/>
              <w:keepLines w:val="0"/>
              <w:pageBreakBefore w:val="0"/>
              <w:kinsoku/>
              <w:overflowPunct/>
              <w:topLinePunct w:val="0"/>
              <w:bidi w:val="0"/>
              <w:adjustRightInd w:val="0"/>
              <w:snapToGrid w:val="0"/>
              <w:spacing w:before="0" w:beforeAutospacing="0" w:after="0" w:afterAutospacing="0"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Cs w:val="0"/>
                <w:color w:val="auto"/>
                <w:sz w:val="24"/>
                <w:szCs w:val="24"/>
                <w:lang w:val="en-US" w:eastAsia="zh-CN"/>
              </w:rPr>
              <w:t>履约保证金</w:t>
            </w:r>
          </w:p>
        </w:tc>
        <w:tc>
          <w:tcPr>
            <w:tcW w:w="6803" w:type="dxa"/>
            <w:noWrap w:val="0"/>
            <w:vAlign w:val="center"/>
          </w:tcPr>
          <w:p w14:paraId="74CC583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履约保证金金额：合同金额的5%（成交供应商为中小微企业的按成交金额的2%）</w:t>
            </w:r>
          </w:p>
          <w:p w14:paraId="403D749E">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履约保证金提交方式：转账或电汇形式。</w:t>
            </w:r>
          </w:p>
          <w:p w14:paraId="2F2C20BC">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left"/>
              <w:textAlignment w:val="auto"/>
              <w:rPr>
                <w:rFonts w:hint="eastAsia" w:ascii="宋体" w:hAnsi="宋体" w:eastAsia="宋体" w:cs="宋体"/>
                <w:color w:val="auto"/>
                <w:lang w:val="en-US" w:eastAsia="zh-CN"/>
              </w:rPr>
            </w:pPr>
            <w:r>
              <w:rPr>
                <w:rFonts w:hint="eastAsia" w:ascii="宋体" w:hAnsi="宋体" w:eastAsia="宋体" w:cs="宋体"/>
                <w:color w:val="auto"/>
                <w:sz w:val="24"/>
                <w:szCs w:val="24"/>
              </w:rPr>
              <w:t>备注说明：成交人在签订合同之前，把履约保证金足额交到采购人指定账户，否则不予签订合同。履约保证金自项目验收合格后，待成交供应商履行完质保义务且无违约的情况下，由成交人提出书面申请后由采购人无息退还。本合同履行期间，成交人存在违约的，有权从履约保证金中先行扣违约金、赔偿金等按本合同约定成交人应付款项，不足部分由成交人另行支付，采购人直接从履约保证金中扣除违约金、赔偿金等按本合同约定成交人应付款项的，成交人应于接到采购人补足履约保证金通知之日起3个工作日内补足。</w:t>
            </w:r>
          </w:p>
        </w:tc>
      </w:tr>
      <w:tr w14:paraId="4E3A5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4" w:type="dxa"/>
            <w:noWrap w:val="0"/>
            <w:vAlign w:val="center"/>
          </w:tcPr>
          <w:p w14:paraId="7DBCBD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1411" w:type="dxa"/>
            <w:noWrap w:val="0"/>
            <w:vAlign w:val="center"/>
          </w:tcPr>
          <w:p w14:paraId="10AFDE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付款方式</w:t>
            </w:r>
          </w:p>
        </w:tc>
        <w:tc>
          <w:tcPr>
            <w:tcW w:w="6803" w:type="dxa"/>
            <w:noWrap w:val="0"/>
            <w:vAlign w:val="center"/>
          </w:tcPr>
          <w:p w14:paraId="430A2BFA">
            <w:pPr>
              <w:adjustRightInd w:val="0"/>
              <w:snapToGrid w:val="0"/>
              <w:spacing w:line="240" w:lineRule="auto"/>
              <w:jc w:val="left"/>
              <w:rPr>
                <w:rFonts w:hint="eastAsia" w:ascii="宋体" w:hAnsi="宋体" w:eastAsia="宋体" w:cs="宋体"/>
                <w:color w:val="auto"/>
                <w:lang w:val="en-US" w:eastAsia="zh-CN"/>
              </w:rPr>
            </w:pPr>
            <w:r>
              <w:rPr>
                <w:rFonts w:hint="eastAsia" w:ascii="宋体" w:hAnsi="宋体" w:eastAsia="宋体" w:cs="宋体"/>
                <w:color w:val="auto"/>
                <w:kern w:val="2"/>
                <w:sz w:val="24"/>
                <w:szCs w:val="24"/>
                <w:vertAlign w:val="baseline"/>
                <w:lang w:val="en-US" w:eastAsia="zh-CN" w:bidi="ar-SA"/>
              </w:rPr>
              <w:t>完成</w:t>
            </w:r>
            <w:r>
              <w:rPr>
                <w:rFonts w:hint="eastAsia" w:ascii="宋体" w:hAnsi="宋体" w:eastAsia="宋体" w:cs="宋体"/>
                <w:color w:val="auto"/>
              </w:rPr>
              <w:t>服务成果交付</w:t>
            </w:r>
            <w:r>
              <w:rPr>
                <w:rFonts w:hint="eastAsia" w:cs="宋体"/>
                <w:color w:val="auto"/>
                <w:lang w:eastAsia="zh-CN"/>
              </w:rPr>
              <w:t>，</w:t>
            </w:r>
            <w:r>
              <w:rPr>
                <w:rFonts w:hint="eastAsia" w:ascii="宋体" w:hAnsi="宋体" w:eastAsia="宋体" w:cs="宋体"/>
                <w:color w:val="auto"/>
                <w:kern w:val="2"/>
                <w:sz w:val="24"/>
                <w:szCs w:val="24"/>
                <w:vertAlign w:val="baseline"/>
                <w:lang w:val="en-US" w:eastAsia="zh-CN" w:bidi="ar-SA"/>
              </w:rPr>
              <w:t>且验收合格后，一次性付款</w:t>
            </w:r>
          </w:p>
        </w:tc>
      </w:tr>
      <w:tr w14:paraId="1E395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74" w:type="dxa"/>
            <w:noWrap w:val="0"/>
            <w:vAlign w:val="center"/>
          </w:tcPr>
          <w:p w14:paraId="119C7E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1411" w:type="dxa"/>
            <w:noWrap w:val="0"/>
            <w:vAlign w:val="center"/>
          </w:tcPr>
          <w:p w14:paraId="2EB14A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其他要求</w:t>
            </w:r>
          </w:p>
        </w:tc>
        <w:tc>
          <w:tcPr>
            <w:tcW w:w="6803" w:type="dxa"/>
            <w:noWrap w:val="0"/>
            <w:vAlign w:val="center"/>
          </w:tcPr>
          <w:p w14:paraId="7C8CDFD7">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sz w:val="24"/>
                <w:szCs w:val="24"/>
                <w:lang w:val="en-US" w:eastAsia="zh-CN"/>
              </w:rPr>
              <w:t>▲</w:t>
            </w:r>
            <w:r>
              <w:rPr>
                <w:rFonts w:hint="eastAsia" w:ascii="宋体" w:hAnsi="宋体" w:eastAsia="宋体" w:cs="宋体"/>
                <w:color w:val="auto"/>
                <w:kern w:val="2"/>
                <w:sz w:val="24"/>
                <w:szCs w:val="24"/>
                <w:vertAlign w:val="baseline"/>
                <w:lang w:val="en-US" w:eastAsia="zh-CN" w:bidi="ar-SA"/>
              </w:rPr>
              <w:t>1.供应商投入本项目的测评实施人员必须具有公安部关键信息基础设施保护中心颁发的《网络安全等级测评师证书》，项目组成人员至少五人，其中包括四名测评师（分别为一名高级测评师、一名中级测评师和两名初级测评师）和一名质量监督人员。</w:t>
            </w:r>
          </w:p>
          <w:p w14:paraId="561C56FE">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kern w:val="2"/>
                <w:sz w:val="24"/>
                <w:szCs w:val="24"/>
                <w:vertAlign w:val="baseline"/>
                <w:lang w:val="en-US" w:eastAsia="zh-CN" w:bidi="ar-SA"/>
              </w:rPr>
              <w:t>2.供应商如在南宁市设有常驻的机构提供本地化服务，请提供相关证明文件。如在南宁市注册的营业执照或在南宁市的自有房产产权证明、或租赁房产的租赁合同及出租方产权证明（租赁登记备案证明可替代）并加盖供应商公章。</w:t>
            </w:r>
          </w:p>
          <w:p w14:paraId="7FD156F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kern w:val="2"/>
                <w:sz w:val="24"/>
                <w:szCs w:val="24"/>
                <w:vertAlign w:val="baseline"/>
                <w:lang w:val="en-US" w:eastAsia="zh-CN" w:bidi="ar-SA"/>
              </w:rPr>
              <w:t>3.供应商如在广西壮族自治区内有同行业项目服务案例，请提供相关证明文件。如在广西壮族自治区内的等级保护测评合同复印件（至少合同首页、体现服务内容页、签署日期页、盖章页）并加盖供应商公章。</w:t>
            </w:r>
          </w:p>
          <w:p w14:paraId="7FEA260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kern w:val="2"/>
                <w:sz w:val="24"/>
                <w:szCs w:val="24"/>
                <w:vertAlign w:val="baseline"/>
                <w:lang w:val="en-US" w:eastAsia="zh-CN" w:bidi="ar-SA"/>
              </w:rPr>
            </w:pPr>
            <w:r>
              <w:rPr>
                <w:rFonts w:hint="eastAsia" w:ascii="宋体" w:hAnsi="宋体" w:eastAsia="宋体" w:cs="宋体"/>
                <w:color w:val="auto"/>
                <w:kern w:val="2"/>
                <w:sz w:val="24"/>
                <w:szCs w:val="24"/>
                <w:vertAlign w:val="baseline"/>
                <w:lang w:val="en-US" w:eastAsia="zh-CN" w:bidi="ar-SA"/>
              </w:rPr>
              <w:t>4.供应商必须针对本项目提供技术、实施和售后服务方案。</w:t>
            </w:r>
          </w:p>
          <w:p w14:paraId="744EB7AF">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vertAlign w:val="baseline"/>
                <w:lang w:val="en-US" w:eastAsia="zh-CN" w:bidi="ar-SA"/>
              </w:rPr>
              <w:t>5.供应商在中标后必须签署相关保密协议，并严格遵守协议要求。</w:t>
            </w:r>
          </w:p>
        </w:tc>
      </w:tr>
    </w:tbl>
    <w:p w14:paraId="6BCF1754">
      <w:pPr>
        <w:numPr>
          <w:ilvl w:val="0"/>
          <w:numId w:val="0"/>
        </w:numPr>
        <w:adjustRightInd w:val="0"/>
        <w:snapToGrid w:val="0"/>
        <w:spacing w:line="520" w:lineRule="exact"/>
        <w:ind w:left="0" w:leftChars="0" w:firstLine="482" w:firstLineChars="200"/>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四、评分办法</w:t>
      </w:r>
    </w:p>
    <w:tbl>
      <w:tblPr>
        <w:tblStyle w:val="20"/>
        <w:tblW w:w="46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1037"/>
        <w:gridCol w:w="1270"/>
        <w:gridCol w:w="5838"/>
      </w:tblGrid>
      <w:tr w14:paraId="3722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553" w:type="pct"/>
            <w:shd w:val="clear" w:color="auto" w:fill="F1F1F1" w:themeFill="background1" w:themeFillShade="F2"/>
            <w:noWrap w:val="0"/>
            <w:vAlign w:val="center"/>
          </w:tcPr>
          <w:p w14:paraId="0207D68C">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259" w:type="pct"/>
            <w:gridSpan w:val="2"/>
            <w:shd w:val="clear" w:color="auto" w:fill="F1F1F1" w:themeFill="background1" w:themeFillShade="F2"/>
            <w:noWrap w:val="0"/>
            <w:vAlign w:val="center"/>
          </w:tcPr>
          <w:p w14:paraId="4B50FE07">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评审因素及分值</w:t>
            </w:r>
          </w:p>
        </w:tc>
        <w:tc>
          <w:tcPr>
            <w:tcW w:w="3187" w:type="pct"/>
            <w:shd w:val="clear" w:color="auto" w:fill="F1F1F1" w:themeFill="background1" w:themeFillShade="F2"/>
            <w:noWrap w:val="0"/>
            <w:vAlign w:val="center"/>
          </w:tcPr>
          <w:p w14:paraId="39AC8996">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评分标准</w:t>
            </w:r>
          </w:p>
        </w:tc>
      </w:tr>
      <w:tr w14:paraId="65E2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3" w:type="pct"/>
            <w:noWrap w:val="0"/>
            <w:vAlign w:val="center"/>
          </w:tcPr>
          <w:p w14:paraId="0D69FD1B">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①</w:t>
            </w:r>
          </w:p>
        </w:tc>
        <w:tc>
          <w:tcPr>
            <w:tcW w:w="1259" w:type="pct"/>
            <w:gridSpan w:val="2"/>
            <w:noWrap w:val="0"/>
            <w:vAlign w:val="center"/>
          </w:tcPr>
          <w:p w14:paraId="5CE3F504">
            <w:pPr>
              <w:keepNext w:val="0"/>
              <w:keepLines w:val="0"/>
              <w:pageBreakBefore w:val="0"/>
              <w:tabs>
                <w:tab w:val="left" w:pos="1200"/>
              </w:tabs>
              <w:kinsoku/>
              <w:wordWrap/>
              <w:overflowPunct/>
              <w:topLinePunct w:val="0"/>
              <w:autoSpaceDE/>
              <w:autoSpaceDN/>
              <w:bidi w:val="0"/>
              <w:spacing w:line="240" w:lineRule="auto"/>
              <w:ind w:left="0" w:leftChars="0"/>
              <w:jc w:val="center"/>
              <w:textAlignment w:val="auto"/>
              <w:rPr>
                <w:rFonts w:hint="eastAsia" w:ascii="宋体" w:hAnsi="宋体" w:eastAsia="宋体" w:cs="宋体"/>
                <w:b/>
                <w:color w:val="auto"/>
                <w:sz w:val="24"/>
                <w:szCs w:val="24"/>
                <w:highlight w:val="none"/>
              </w:rPr>
            </w:pPr>
            <w:r>
              <w:rPr>
                <w:rFonts w:hint="eastAsia" w:cs="宋体"/>
                <w:b/>
                <w:color w:val="auto"/>
                <w:sz w:val="24"/>
                <w:szCs w:val="24"/>
                <w:highlight w:val="none"/>
                <w:lang w:val="en-US" w:eastAsia="zh-CN"/>
              </w:rPr>
              <w:t>一、</w:t>
            </w:r>
            <w:r>
              <w:rPr>
                <w:rFonts w:hint="eastAsia" w:ascii="宋体" w:hAnsi="宋体" w:eastAsia="宋体" w:cs="宋体"/>
                <w:b/>
                <w:color w:val="auto"/>
                <w:sz w:val="24"/>
                <w:szCs w:val="24"/>
                <w:highlight w:val="none"/>
              </w:rPr>
              <w:t>价格分(</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0分)</w:t>
            </w:r>
          </w:p>
        </w:tc>
        <w:tc>
          <w:tcPr>
            <w:tcW w:w="3187" w:type="pct"/>
            <w:noWrap w:val="0"/>
            <w:vAlign w:val="center"/>
          </w:tcPr>
          <w:p w14:paraId="22D23D97">
            <w:pPr>
              <w:keepNext w:val="0"/>
              <w:keepLines w:val="0"/>
              <w:pageBreakBefore w:val="0"/>
              <w:widowControl w:val="0"/>
              <w:numPr>
                <w:ilvl w:val="-1"/>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color w:val="auto"/>
                <w:spacing w:val="0"/>
                <w:kern w:val="2"/>
                <w:sz w:val="24"/>
                <w:szCs w:val="24"/>
                <w:highlight w:val="none"/>
                <w:lang w:val="en-US" w:eastAsia="zh-CN" w:bidi="ar-SA"/>
              </w:rPr>
            </w:pPr>
            <w:r>
              <w:rPr>
                <w:rFonts w:hint="eastAsia" w:ascii="宋体" w:hAnsi="宋体" w:eastAsia="宋体" w:cs="宋体"/>
                <w:color w:val="auto"/>
                <w:spacing w:val="0"/>
                <w:kern w:val="2"/>
                <w:sz w:val="24"/>
                <w:szCs w:val="24"/>
                <w:highlight w:val="none"/>
                <w:lang w:val="en-US" w:eastAsia="zh-CN" w:bidi="ar-SA"/>
              </w:rPr>
              <w:t>某</w:t>
            </w:r>
            <w:r>
              <w:rPr>
                <w:rFonts w:hint="eastAsia" w:cs="宋体"/>
                <w:color w:val="auto"/>
                <w:spacing w:val="0"/>
                <w:kern w:val="2"/>
                <w:sz w:val="24"/>
                <w:szCs w:val="24"/>
                <w:highlight w:val="none"/>
                <w:lang w:val="en-US" w:eastAsia="zh-CN" w:bidi="ar-SA"/>
              </w:rPr>
              <w:t>供应商</w:t>
            </w:r>
            <w:r>
              <w:rPr>
                <w:rFonts w:hint="eastAsia" w:ascii="宋体" w:hAnsi="宋体" w:eastAsia="宋体" w:cs="宋体"/>
                <w:color w:val="auto"/>
                <w:spacing w:val="0"/>
                <w:kern w:val="2"/>
                <w:sz w:val="24"/>
                <w:szCs w:val="24"/>
                <w:highlight w:val="none"/>
                <w:lang w:val="en-US" w:eastAsia="zh-CN" w:bidi="ar-SA"/>
              </w:rPr>
              <w:t>价格分=(评标基准价／某</w:t>
            </w:r>
            <w:r>
              <w:rPr>
                <w:rFonts w:hint="eastAsia" w:cs="宋体"/>
                <w:color w:val="auto"/>
                <w:spacing w:val="0"/>
                <w:kern w:val="2"/>
                <w:sz w:val="24"/>
                <w:szCs w:val="24"/>
                <w:highlight w:val="none"/>
                <w:lang w:val="en-US" w:eastAsia="zh-CN" w:bidi="ar-SA"/>
              </w:rPr>
              <w:t>供应商</w:t>
            </w:r>
            <w:r>
              <w:rPr>
                <w:rFonts w:hint="eastAsia" w:ascii="宋体" w:hAnsi="宋体" w:eastAsia="宋体" w:cs="宋体"/>
                <w:color w:val="auto"/>
                <w:spacing w:val="0"/>
                <w:kern w:val="2"/>
                <w:sz w:val="24"/>
                <w:szCs w:val="24"/>
                <w:highlight w:val="none"/>
                <w:lang w:val="en-US" w:eastAsia="zh-CN" w:bidi="ar-SA"/>
              </w:rPr>
              <w:t>的评标报价)×10分。</w:t>
            </w:r>
          </w:p>
          <w:p w14:paraId="2002F5CB">
            <w:pPr>
              <w:keepNext w:val="0"/>
              <w:keepLines w:val="0"/>
              <w:pageBreakBefore w:val="0"/>
              <w:widowControl/>
              <w:kinsoku/>
              <w:wordWrap/>
              <w:overflowPunct/>
              <w:topLinePunct w:val="0"/>
              <w:autoSpaceDE/>
              <w:autoSpaceDN/>
              <w:bidi w:val="0"/>
              <w:adjustRightInd w:val="0"/>
              <w:snapToGrid w:val="0"/>
              <w:spacing w:line="240" w:lineRule="auto"/>
              <w:ind w:left="0" w:leftChars="0"/>
              <w:jc w:val="left"/>
              <w:textAlignment w:val="auto"/>
              <w:rPr>
                <w:rFonts w:hint="eastAsia" w:ascii="宋体" w:hAnsi="宋体" w:eastAsia="宋体" w:cs="宋体"/>
                <w:b/>
                <w:color w:val="auto"/>
                <w:sz w:val="24"/>
                <w:szCs w:val="24"/>
                <w:highlight w:val="none"/>
              </w:rPr>
            </w:pPr>
            <w:r>
              <w:rPr>
                <w:rFonts w:hint="eastAsia" w:ascii="宋体" w:hAnsi="宋体" w:eastAsia="宋体" w:cs="宋体"/>
                <w:color w:val="auto"/>
                <w:spacing w:val="0"/>
                <w:kern w:val="2"/>
                <w:sz w:val="24"/>
                <w:szCs w:val="24"/>
                <w:highlight w:val="none"/>
                <w:lang w:val="en-US" w:eastAsia="zh-CN" w:bidi="ar-SA"/>
              </w:rPr>
              <w:t>注：评标基准价：所有有效投标中的最低报价，投标报价等于评标基准价时即得满分。</w:t>
            </w:r>
          </w:p>
        </w:tc>
      </w:tr>
      <w:tr w14:paraId="2F56F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3" w:type="pct"/>
            <w:vMerge w:val="restart"/>
            <w:noWrap w:val="0"/>
            <w:vAlign w:val="center"/>
          </w:tcPr>
          <w:p w14:paraId="2C519C67">
            <w:pPr>
              <w:keepNext w:val="0"/>
              <w:keepLines w:val="0"/>
              <w:pageBreakBefore w:val="0"/>
              <w:kinsoku/>
              <w:wordWrap/>
              <w:overflowPunct/>
              <w:topLinePunct w:val="0"/>
              <w:autoSpaceDE/>
              <w:autoSpaceDN/>
              <w:bidi w:val="0"/>
              <w:spacing w:line="240" w:lineRule="auto"/>
              <w:ind w:left="0" w:left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w:t>
            </w:r>
          </w:p>
        </w:tc>
        <w:tc>
          <w:tcPr>
            <w:tcW w:w="565" w:type="pct"/>
            <w:vMerge w:val="restart"/>
            <w:noWrap w:val="0"/>
            <w:vAlign w:val="center"/>
          </w:tcPr>
          <w:p w14:paraId="0EC36D6A">
            <w:pPr>
              <w:keepNext w:val="0"/>
              <w:keepLines w:val="0"/>
              <w:pageBreakBefore w:val="0"/>
              <w:kinsoku/>
              <w:wordWrap/>
              <w:overflowPunct/>
              <w:topLinePunct w:val="0"/>
              <w:autoSpaceDE/>
              <w:autoSpaceDN/>
              <w:bidi w:val="0"/>
              <w:spacing w:line="240" w:lineRule="auto"/>
              <w:ind w:left="12" w:leftChars="0" w:hanging="12" w:hangingChars="5"/>
              <w:jc w:val="center"/>
              <w:textAlignment w:val="auto"/>
              <w:rPr>
                <w:rFonts w:hint="eastAsia" w:ascii="宋体" w:hAnsi="宋体" w:eastAsia="宋体" w:cs="宋体"/>
                <w:b/>
                <w:bCs/>
                <w:color w:val="auto"/>
                <w:sz w:val="24"/>
                <w:szCs w:val="24"/>
                <w:highlight w:val="none"/>
              </w:rPr>
            </w:pPr>
            <w:r>
              <w:rPr>
                <w:rFonts w:hint="eastAsia"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技术方案分</w:t>
            </w:r>
          </w:p>
          <w:p w14:paraId="4D20098D">
            <w:pPr>
              <w:keepNext w:val="0"/>
              <w:keepLines w:val="0"/>
              <w:pageBreakBefore w:val="0"/>
              <w:kinsoku/>
              <w:wordWrap/>
              <w:overflowPunct/>
              <w:topLinePunct w:val="0"/>
              <w:autoSpaceDE/>
              <w:autoSpaceDN/>
              <w:bidi w:val="0"/>
              <w:spacing w:line="240" w:lineRule="auto"/>
              <w:ind w:left="0" w:leftChars="0"/>
              <w:jc w:val="center"/>
              <w:textAlignment w:val="auto"/>
              <w:rPr>
                <w:rFonts w:hint="eastAsia" w:ascii="宋体" w:hAnsi="宋体" w:eastAsia="宋体" w:cs="宋体"/>
                <w:color w:val="auto"/>
                <w:kern w:val="1"/>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70</w:t>
            </w:r>
            <w:r>
              <w:rPr>
                <w:rFonts w:hint="eastAsia" w:ascii="宋体" w:hAnsi="宋体" w:eastAsia="宋体" w:cs="宋体"/>
                <w:b/>
                <w:bCs/>
                <w:color w:val="auto"/>
                <w:sz w:val="24"/>
                <w:szCs w:val="24"/>
                <w:highlight w:val="none"/>
              </w:rPr>
              <w:t>分）</w:t>
            </w:r>
          </w:p>
        </w:tc>
        <w:tc>
          <w:tcPr>
            <w:tcW w:w="693" w:type="pct"/>
            <w:noWrap w:val="0"/>
            <w:vAlign w:val="center"/>
          </w:tcPr>
          <w:p w14:paraId="3ACD13D1">
            <w:pPr>
              <w:keepNext w:val="0"/>
              <w:keepLines w:val="0"/>
              <w:pageBreakBefore w:val="0"/>
              <w:kinsoku/>
              <w:wordWrap/>
              <w:overflowPunct/>
              <w:topLinePunct w:val="0"/>
              <w:autoSpaceDE/>
              <w:autoSpaceDN/>
              <w:bidi w:val="0"/>
              <w:spacing w:line="240" w:lineRule="auto"/>
              <w:ind w:left="0" w:lef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rPr>
              <w:t>测评团队</w:t>
            </w:r>
            <w:r>
              <w:rPr>
                <w:rFonts w:hint="eastAsia" w:ascii="宋体" w:hAnsi="宋体" w:eastAsia="宋体" w:cs="宋体"/>
                <w:b/>
                <w:bCs/>
                <w:color w:val="auto"/>
                <w:sz w:val="24"/>
                <w:szCs w:val="24"/>
                <w:highlight w:val="none"/>
                <w:lang w:val="en-US" w:eastAsia="zh-CN"/>
              </w:rPr>
              <w:t>实施</w:t>
            </w:r>
            <w:r>
              <w:rPr>
                <w:rFonts w:hint="eastAsia" w:ascii="宋体" w:hAnsi="宋体" w:eastAsia="宋体" w:cs="宋体"/>
                <w:b/>
                <w:bCs/>
                <w:color w:val="auto"/>
                <w:sz w:val="24"/>
                <w:szCs w:val="24"/>
                <w:highlight w:val="none"/>
                <w:lang w:val="en-US"/>
              </w:rPr>
              <w:t>人员</w:t>
            </w:r>
            <w:r>
              <w:rPr>
                <w:rFonts w:hint="eastAsia" w:ascii="宋体" w:hAnsi="宋体" w:eastAsia="宋体" w:cs="宋体"/>
                <w:b/>
                <w:bCs/>
                <w:color w:val="auto"/>
                <w:sz w:val="24"/>
                <w:szCs w:val="24"/>
                <w:highlight w:val="none"/>
              </w:rPr>
              <w:t>(满分</w:t>
            </w:r>
            <w:r>
              <w:rPr>
                <w:rFonts w:hint="eastAsia" w:ascii="宋体" w:hAnsi="宋体" w:eastAsia="宋体" w:cs="宋体"/>
                <w:b/>
                <w:bCs/>
                <w:color w:val="auto"/>
                <w:sz w:val="24"/>
                <w:szCs w:val="24"/>
                <w:highlight w:val="none"/>
                <w:lang w:val="en-US" w:eastAsia="zh-CN"/>
              </w:rPr>
              <w:t>15</w:t>
            </w:r>
            <w:r>
              <w:rPr>
                <w:rFonts w:hint="eastAsia" w:ascii="宋体" w:hAnsi="宋体" w:eastAsia="宋体" w:cs="宋体"/>
                <w:b/>
                <w:bCs/>
                <w:color w:val="auto"/>
                <w:sz w:val="24"/>
                <w:szCs w:val="24"/>
                <w:highlight w:val="none"/>
              </w:rPr>
              <w:t>分)</w:t>
            </w:r>
          </w:p>
        </w:tc>
        <w:tc>
          <w:tcPr>
            <w:tcW w:w="3187" w:type="pct"/>
            <w:noWrap w:val="0"/>
            <w:vAlign w:val="center"/>
          </w:tcPr>
          <w:p w14:paraId="6C8586E6">
            <w:pPr>
              <w:keepNext w:val="0"/>
              <w:keepLines w:val="0"/>
              <w:pageBreakBefore w:val="0"/>
              <w:widowControl w:val="0"/>
              <w:numPr>
                <w:ilvl w:val="-1"/>
                <w:numId w:val="0"/>
              </w:numPr>
              <w:kinsoku/>
              <w:wordWrap/>
              <w:overflowPunct/>
              <w:topLinePunct w:val="0"/>
              <w:autoSpaceDE/>
              <w:autoSpaceDN/>
              <w:bidi w:val="0"/>
              <w:adjustRightInd w:val="0"/>
              <w:snapToGrid w:val="0"/>
              <w:spacing w:line="240" w:lineRule="auto"/>
              <w:ind w:left="0" w:leftChars="0"/>
              <w:textAlignment w:val="auto"/>
              <w:rPr>
                <w:rFonts w:hint="eastAsia" w:ascii="宋体" w:hAnsi="宋体" w:eastAsia="宋体" w:cs="宋体"/>
                <w:b/>
                <w:bCs/>
                <w:color w:val="auto"/>
                <w:sz w:val="24"/>
                <w:szCs w:val="24"/>
                <w:highlight w:val="none"/>
                <w:lang w:eastAsia="zh-CN"/>
              </w:rPr>
            </w:pP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1</w:t>
            </w:r>
            <w:r>
              <w:rPr>
                <w:rFonts w:hint="eastAsia" w:cs="宋体"/>
                <w:b/>
                <w:bCs/>
                <w:color w:val="auto"/>
                <w:sz w:val="24"/>
                <w:szCs w:val="24"/>
                <w:highlight w:val="none"/>
                <w:lang w:eastAsia="zh-CN"/>
              </w:rPr>
              <w:t>）供应商</w:t>
            </w:r>
            <w:r>
              <w:rPr>
                <w:rFonts w:hint="eastAsia" w:ascii="宋体" w:hAnsi="宋体" w:eastAsia="宋体" w:cs="宋体"/>
                <w:b/>
                <w:bCs/>
                <w:color w:val="auto"/>
                <w:sz w:val="24"/>
                <w:szCs w:val="24"/>
                <w:highlight w:val="none"/>
              </w:rPr>
              <w:t>为本项目配备的项目经理同时</w:t>
            </w:r>
            <w:r>
              <w:rPr>
                <w:rFonts w:hint="eastAsia" w:ascii="宋体" w:hAnsi="宋体" w:eastAsia="宋体" w:cs="宋体"/>
                <w:b/>
                <w:bCs/>
                <w:color w:val="auto"/>
                <w:sz w:val="24"/>
                <w:szCs w:val="24"/>
                <w:highlight w:val="none"/>
                <w:lang w:val="en-US" w:eastAsia="zh-CN"/>
              </w:rPr>
              <w:t>持有</w:t>
            </w:r>
            <w:r>
              <w:rPr>
                <w:rFonts w:hint="eastAsia" w:ascii="宋体" w:hAnsi="宋体" w:eastAsia="宋体" w:cs="宋体"/>
                <w:b/>
                <w:bCs/>
                <w:color w:val="auto"/>
                <w:sz w:val="24"/>
                <w:szCs w:val="24"/>
                <w:highlight w:val="none"/>
              </w:rPr>
              <w:t>以下</w:t>
            </w:r>
            <w:r>
              <w:rPr>
                <w:rFonts w:hint="eastAsia" w:ascii="宋体" w:hAnsi="宋体" w:eastAsia="宋体" w:cs="宋体"/>
                <w:b/>
                <w:bCs w:val="0"/>
                <w:color w:val="auto"/>
                <w:sz w:val="24"/>
                <w:szCs w:val="24"/>
                <w:highlight w:val="none"/>
              </w:rPr>
              <w:t>资质</w:t>
            </w:r>
            <w:r>
              <w:rPr>
                <w:rFonts w:hint="eastAsia" w:ascii="宋体" w:hAnsi="宋体" w:eastAsia="宋体" w:cs="宋体"/>
                <w:b/>
                <w:bCs/>
                <w:color w:val="auto"/>
                <w:sz w:val="24"/>
                <w:szCs w:val="24"/>
                <w:highlight w:val="none"/>
              </w:rPr>
              <w:t>证书：</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每提供一份得1.5分，满分6分</w:t>
            </w:r>
            <w:r>
              <w:rPr>
                <w:rFonts w:hint="eastAsia" w:ascii="宋体" w:hAnsi="宋体" w:eastAsia="宋体" w:cs="宋体"/>
                <w:b/>
                <w:bCs/>
                <w:color w:val="auto"/>
                <w:sz w:val="24"/>
                <w:szCs w:val="24"/>
                <w:highlight w:val="none"/>
                <w:lang w:eastAsia="zh-CN"/>
              </w:rPr>
              <w:t>）</w:t>
            </w:r>
          </w:p>
          <w:p w14:paraId="777C3D1A">
            <w:pPr>
              <w:keepNext w:val="0"/>
              <w:keepLines w:val="0"/>
              <w:pageBreakBefore w:val="0"/>
              <w:widowControl w:val="0"/>
              <w:kinsoku/>
              <w:wordWrap/>
              <w:overflowPunct/>
              <w:topLinePunct w:val="0"/>
              <w:autoSpaceDE/>
              <w:autoSpaceDN/>
              <w:bidi w:val="0"/>
              <w:adjustRightInd w:val="0"/>
              <w:snapToGrid w:val="0"/>
              <w:spacing w:line="240" w:lineRule="auto"/>
              <w:ind w:left="0" w:lef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1.国家互联网应急中心颁发的网络安全能力认证证书；</w:t>
            </w:r>
          </w:p>
          <w:p w14:paraId="0A8E1B26">
            <w:pPr>
              <w:keepNext w:val="0"/>
              <w:keepLines w:val="0"/>
              <w:pageBreakBefore w:val="0"/>
              <w:widowControl w:val="0"/>
              <w:kinsoku/>
              <w:wordWrap/>
              <w:overflowPunct/>
              <w:topLinePunct w:val="0"/>
              <w:autoSpaceDE/>
              <w:autoSpaceDN/>
              <w:bidi w:val="0"/>
              <w:adjustRightInd w:val="0"/>
              <w:snapToGrid w:val="0"/>
              <w:spacing w:line="240" w:lineRule="auto"/>
              <w:ind w:left="0" w:lef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2.中国网络安全审查认证和市场监管大数据中心颁发的网络与数据安全人员能力认证-首席数据官认证证书（CCRC-CDO）</w:t>
            </w:r>
            <w:r>
              <w:rPr>
                <w:rFonts w:hint="eastAsia" w:ascii="宋体" w:hAnsi="宋体" w:eastAsia="宋体" w:cs="宋体"/>
                <w:color w:val="auto"/>
                <w:sz w:val="24"/>
                <w:szCs w:val="24"/>
                <w:highlight w:val="none"/>
                <w:lang w:eastAsia="zh-CN"/>
              </w:rPr>
              <w:t>；</w:t>
            </w:r>
          </w:p>
          <w:p w14:paraId="12DBB7F6">
            <w:pPr>
              <w:keepNext w:val="0"/>
              <w:keepLines w:val="0"/>
              <w:pageBreakBefore w:val="0"/>
              <w:widowControl w:val="0"/>
              <w:kinsoku/>
              <w:wordWrap/>
              <w:overflowPunct/>
              <w:topLinePunct w:val="0"/>
              <w:autoSpaceDE/>
              <w:autoSpaceDN/>
              <w:bidi w:val="0"/>
              <w:adjustRightInd w:val="0"/>
              <w:snapToGrid w:val="0"/>
              <w:spacing w:line="240" w:lineRule="auto"/>
              <w:ind w:left="0" w:left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3.合格的商用密码应用安全性评估人员测评能力考核证书；</w:t>
            </w:r>
          </w:p>
          <w:p w14:paraId="50F19D51">
            <w:pPr>
              <w:keepNext w:val="0"/>
              <w:keepLines w:val="0"/>
              <w:pageBreakBefore w:val="0"/>
              <w:widowControl w:val="0"/>
              <w:kinsoku/>
              <w:wordWrap/>
              <w:overflowPunct/>
              <w:topLinePunct w:val="0"/>
              <w:autoSpaceDE/>
              <w:autoSpaceDN/>
              <w:bidi w:val="0"/>
              <w:adjustRightInd w:val="0"/>
              <w:snapToGrid w:val="0"/>
              <w:spacing w:line="240" w:lineRule="auto"/>
              <w:ind w:left="0" w:lef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4.中国信息安全测评中心颁发的注册信息安全工程师（CISE）。</w:t>
            </w:r>
          </w:p>
          <w:p w14:paraId="14A9BD56">
            <w:pPr>
              <w:keepNext w:val="0"/>
              <w:keepLines w:val="0"/>
              <w:pageBreakBefore w:val="0"/>
              <w:widowControl w:val="0"/>
              <w:kinsoku/>
              <w:wordWrap/>
              <w:overflowPunct/>
              <w:topLinePunct w:val="0"/>
              <w:autoSpaceDE/>
              <w:autoSpaceDN/>
              <w:bidi w:val="0"/>
              <w:adjustRightInd w:val="0"/>
              <w:snapToGrid w:val="0"/>
              <w:spacing w:line="240" w:lineRule="auto"/>
              <w:ind w:left="0" w:leftChars="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注：响应文件中</w:t>
            </w:r>
            <w:r>
              <w:rPr>
                <w:rFonts w:hint="eastAsia" w:ascii="宋体" w:hAnsi="宋体" w:eastAsia="宋体" w:cs="宋体"/>
                <w:b/>
                <w:bCs/>
                <w:color w:val="auto"/>
                <w:sz w:val="24"/>
                <w:szCs w:val="24"/>
                <w:highlight w:val="none"/>
                <w:lang w:val="en-US" w:eastAsia="zh-CN"/>
              </w:rPr>
              <w:t>需提供拟投入项目的项目经理、</w:t>
            </w:r>
            <w:r>
              <w:rPr>
                <w:rFonts w:hint="eastAsia" w:ascii="宋体" w:hAnsi="宋体" w:eastAsia="宋体" w:cs="宋体"/>
                <w:b/>
                <w:bCs/>
                <w:color w:val="auto"/>
                <w:sz w:val="24"/>
                <w:szCs w:val="24"/>
                <w:highlight w:val="none"/>
              </w:rPr>
              <w:t>实施人员</w:t>
            </w:r>
            <w:r>
              <w:rPr>
                <w:rFonts w:hint="eastAsia" w:ascii="宋体" w:hAnsi="宋体" w:eastAsia="宋体" w:cs="宋体"/>
                <w:b/>
                <w:bCs/>
                <w:color w:val="auto"/>
                <w:sz w:val="24"/>
                <w:szCs w:val="24"/>
                <w:highlight w:val="none"/>
                <w:lang w:val="en-US" w:eastAsia="zh-CN"/>
              </w:rPr>
              <w:t>等投标截止之日前半年内任意一</w:t>
            </w:r>
            <w:r>
              <w:rPr>
                <w:rFonts w:hint="eastAsia" w:ascii="宋体" w:hAnsi="宋体" w:eastAsia="宋体" w:cs="宋体"/>
                <w:b/>
                <w:bCs/>
                <w:color w:val="auto"/>
                <w:sz w:val="24"/>
                <w:szCs w:val="24"/>
                <w:highlight w:val="none"/>
              </w:rPr>
              <w:t>个月的社保证明复印件及上述有效证书复印件，</w:t>
            </w:r>
            <w:r>
              <w:rPr>
                <w:rFonts w:hint="eastAsia" w:cs="宋体"/>
                <w:b/>
                <w:bCs/>
                <w:color w:val="auto"/>
                <w:sz w:val="24"/>
                <w:szCs w:val="24"/>
                <w:highlight w:val="none"/>
                <w:lang w:val="en-US" w:eastAsia="zh-CN"/>
              </w:rPr>
              <w:t>并加盖公章，</w:t>
            </w:r>
            <w:r>
              <w:rPr>
                <w:rFonts w:hint="eastAsia" w:ascii="宋体" w:hAnsi="宋体" w:eastAsia="宋体" w:cs="宋体"/>
                <w:b/>
                <w:bCs/>
                <w:color w:val="auto"/>
                <w:sz w:val="24"/>
                <w:szCs w:val="24"/>
                <w:highlight w:val="none"/>
              </w:rPr>
              <w:t>否则不计分。</w:t>
            </w:r>
          </w:p>
          <w:p w14:paraId="016C0F1E">
            <w:pPr>
              <w:keepNext w:val="0"/>
              <w:keepLines w:val="0"/>
              <w:pageBreakBefore w:val="0"/>
              <w:widowControl w:val="0"/>
              <w:numPr>
                <w:ilvl w:val="-1"/>
                <w:numId w:val="0"/>
              </w:numPr>
              <w:kinsoku/>
              <w:wordWrap/>
              <w:overflowPunct/>
              <w:topLinePunct w:val="0"/>
              <w:autoSpaceDE/>
              <w:autoSpaceDN/>
              <w:bidi w:val="0"/>
              <w:adjustRightInd w:val="0"/>
              <w:snapToGrid w:val="0"/>
              <w:spacing w:line="240" w:lineRule="auto"/>
              <w:ind w:left="0" w:leftChars="0"/>
              <w:textAlignment w:val="auto"/>
              <w:rPr>
                <w:rFonts w:hint="eastAsia" w:cs="宋体"/>
                <w:b/>
                <w:bCs/>
                <w:color w:val="auto"/>
                <w:sz w:val="24"/>
                <w:szCs w:val="24"/>
                <w:highlight w:val="none"/>
                <w:lang w:eastAsia="zh-CN"/>
              </w:rPr>
            </w:pPr>
          </w:p>
          <w:p w14:paraId="7CD136B3">
            <w:pPr>
              <w:keepNext w:val="0"/>
              <w:keepLines w:val="0"/>
              <w:pageBreakBefore w:val="0"/>
              <w:widowControl w:val="0"/>
              <w:numPr>
                <w:ilvl w:val="-1"/>
                <w:numId w:val="0"/>
              </w:numPr>
              <w:kinsoku/>
              <w:wordWrap/>
              <w:overflowPunct/>
              <w:topLinePunct w:val="0"/>
              <w:autoSpaceDE/>
              <w:autoSpaceDN/>
              <w:bidi w:val="0"/>
              <w:adjustRightInd w:val="0"/>
              <w:snapToGrid w:val="0"/>
              <w:spacing w:line="240" w:lineRule="auto"/>
              <w:ind w:left="0" w:leftChars="0"/>
              <w:textAlignment w:val="auto"/>
              <w:rPr>
                <w:rFonts w:hint="eastAsia" w:ascii="宋体" w:hAnsi="宋体" w:eastAsia="宋体" w:cs="宋体"/>
                <w:b/>
                <w:bCs/>
                <w:color w:val="auto"/>
                <w:sz w:val="24"/>
                <w:szCs w:val="24"/>
                <w:highlight w:val="none"/>
              </w:rPr>
            </w:pP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2</w:t>
            </w:r>
            <w:r>
              <w:rPr>
                <w:rFonts w:hint="eastAsia" w:cs="宋体"/>
                <w:b/>
                <w:bCs/>
                <w:color w:val="auto"/>
                <w:sz w:val="24"/>
                <w:szCs w:val="24"/>
                <w:highlight w:val="none"/>
                <w:lang w:eastAsia="zh-CN"/>
              </w:rPr>
              <w:t>）</w:t>
            </w:r>
            <w:r>
              <w:rPr>
                <w:rFonts w:hint="eastAsia" w:ascii="宋体" w:hAnsi="宋体" w:eastAsia="宋体" w:cs="宋体"/>
                <w:b/>
                <w:bCs/>
                <w:color w:val="auto"/>
                <w:sz w:val="24"/>
                <w:szCs w:val="24"/>
                <w:highlight w:val="none"/>
              </w:rPr>
              <w:t>拟投入本项目的</w:t>
            </w:r>
            <w:r>
              <w:rPr>
                <w:rFonts w:hint="eastAsia" w:ascii="宋体" w:hAnsi="宋体" w:eastAsia="宋体" w:cs="宋体"/>
                <w:b/>
                <w:bCs/>
                <w:color w:val="auto"/>
                <w:sz w:val="24"/>
                <w:szCs w:val="24"/>
                <w:highlight w:val="none"/>
                <w:lang w:val="en-US" w:eastAsia="zh-CN"/>
              </w:rPr>
              <w:t>实施</w:t>
            </w:r>
            <w:r>
              <w:rPr>
                <w:rFonts w:hint="eastAsia" w:ascii="宋体" w:hAnsi="宋体" w:eastAsia="宋体" w:cs="宋体"/>
                <w:b/>
                <w:bCs/>
                <w:color w:val="auto"/>
                <w:sz w:val="24"/>
                <w:szCs w:val="24"/>
                <w:highlight w:val="none"/>
              </w:rPr>
              <w:t>人员（不含项目经理）</w:t>
            </w:r>
            <w:r>
              <w:rPr>
                <w:rFonts w:hint="eastAsia" w:ascii="宋体" w:hAnsi="宋体" w:eastAsia="宋体" w:cs="宋体"/>
                <w:b/>
                <w:bCs/>
                <w:color w:val="auto"/>
                <w:sz w:val="24"/>
                <w:szCs w:val="24"/>
                <w:highlight w:val="none"/>
                <w:lang w:val="en-US" w:eastAsia="zh-CN"/>
              </w:rPr>
              <w:t>同时</w:t>
            </w:r>
            <w:r>
              <w:rPr>
                <w:rFonts w:hint="eastAsia" w:cs="宋体"/>
                <w:b/>
                <w:bCs/>
                <w:color w:val="auto"/>
                <w:sz w:val="24"/>
                <w:szCs w:val="24"/>
                <w:highlight w:val="none"/>
                <w:lang w:val="en-US" w:eastAsia="zh-CN"/>
              </w:rPr>
              <w:t>满足：</w:t>
            </w:r>
            <w:r>
              <w:rPr>
                <w:rFonts w:ascii="宋体" w:hAnsi="宋体" w:eastAsia="宋体" w:cs="宋体"/>
                <w:b/>
                <w:bCs/>
                <w:sz w:val="24"/>
                <w:szCs w:val="24"/>
              </w:rPr>
              <w:t>人员所</w:t>
            </w:r>
            <w:r>
              <w:rPr>
                <w:rFonts w:hint="eastAsia" w:ascii="宋体" w:hAnsi="宋体" w:eastAsia="宋体" w:cs="宋体"/>
                <w:b/>
                <w:bCs/>
                <w:color w:val="auto"/>
                <w:sz w:val="24"/>
                <w:szCs w:val="24"/>
                <w:highlight w:val="none"/>
                <w:lang w:val="en-US" w:eastAsia="zh-CN"/>
              </w:rPr>
              <w:t>持</w:t>
            </w:r>
            <w:r>
              <w:rPr>
                <w:rFonts w:hint="eastAsia" w:cs="宋体"/>
                <w:b/>
                <w:bCs/>
                <w:color w:val="auto"/>
                <w:sz w:val="24"/>
                <w:szCs w:val="24"/>
                <w:highlight w:val="none"/>
                <w:lang w:val="en-US" w:eastAsia="zh-CN"/>
              </w:rPr>
              <w:t>证书为以下范围内</w:t>
            </w:r>
            <w:r>
              <w:rPr>
                <w:rFonts w:hint="eastAsia" w:ascii="宋体" w:hAnsi="宋体" w:eastAsia="宋体" w:cs="宋体"/>
                <w:b/>
                <w:bCs/>
                <w:color w:val="auto"/>
                <w:sz w:val="24"/>
                <w:szCs w:val="24"/>
                <w:highlight w:val="none"/>
                <w:lang w:val="en-US" w:eastAsia="zh-CN"/>
              </w:rPr>
              <w:t>证书</w:t>
            </w:r>
            <w:r>
              <w:rPr>
                <w:rFonts w:hint="eastAsia" w:cs="宋体"/>
                <w:b/>
                <w:bCs/>
                <w:color w:val="auto"/>
                <w:sz w:val="24"/>
                <w:szCs w:val="24"/>
                <w:highlight w:val="none"/>
                <w:lang w:val="en-US" w:eastAsia="zh-CN"/>
              </w:rPr>
              <w:t>，按人员计分（每名人员最多计1次分）；</w:t>
            </w:r>
            <w:r>
              <w:rPr>
                <w:rFonts w:hint="eastAsia" w:ascii="宋体" w:hAnsi="宋体" w:eastAsia="宋体" w:cs="宋体"/>
                <w:b/>
                <w:bCs/>
                <w:color w:val="auto"/>
                <w:sz w:val="24"/>
                <w:szCs w:val="24"/>
                <w:highlight w:val="none"/>
                <w:lang w:val="en-US" w:eastAsia="zh-CN"/>
              </w:rPr>
              <w:t>每</w:t>
            </w:r>
            <w:r>
              <w:rPr>
                <w:rFonts w:hint="eastAsia" w:cs="宋体"/>
                <w:b/>
                <w:bCs/>
                <w:color w:val="auto"/>
                <w:sz w:val="24"/>
                <w:szCs w:val="24"/>
                <w:highlight w:val="none"/>
                <w:lang w:val="en-US" w:eastAsia="zh-CN"/>
              </w:rPr>
              <w:t>名符合条件人员计</w:t>
            </w:r>
            <w:r>
              <w:rPr>
                <w:rFonts w:hint="eastAsia" w:ascii="宋体" w:hAnsi="宋体" w:eastAsia="宋体" w:cs="宋体"/>
                <w:b/>
                <w:bCs/>
                <w:color w:val="auto"/>
                <w:sz w:val="24"/>
                <w:szCs w:val="24"/>
                <w:highlight w:val="none"/>
                <w:lang w:val="en-US" w:eastAsia="zh-CN"/>
              </w:rPr>
              <w:t>1.5分，</w:t>
            </w:r>
            <w:r>
              <w:rPr>
                <w:rFonts w:hint="eastAsia" w:cs="宋体"/>
                <w:b/>
                <w:bCs/>
                <w:color w:val="auto"/>
                <w:sz w:val="24"/>
                <w:szCs w:val="24"/>
                <w:highlight w:val="none"/>
                <w:lang w:val="en-US" w:eastAsia="zh-CN"/>
              </w:rPr>
              <w:t>本项</w:t>
            </w:r>
            <w:r>
              <w:rPr>
                <w:rFonts w:hint="eastAsia" w:ascii="宋体" w:hAnsi="宋体" w:eastAsia="宋体" w:cs="宋体"/>
                <w:b/>
                <w:bCs/>
                <w:color w:val="auto"/>
                <w:sz w:val="24"/>
                <w:szCs w:val="24"/>
                <w:highlight w:val="none"/>
                <w:lang w:val="en-US" w:eastAsia="zh-CN"/>
              </w:rPr>
              <w:t>满分9分</w:t>
            </w:r>
            <w:r>
              <w:rPr>
                <w:rFonts w:hint="eastAsia" w:cs="宋体"/>
                <w:b/>
                <w:bCs/>
                <w:color w:val="auto"/>
                <w:sz w:val="24"/>
                <w:szCs w:val="24"/>
                <w:highlight w:val="none"/>
                <w:lang w:val="en-US" w:eastAsia="zh-CN"/>
              </w:rPr>
              <w:t>。</w:t>
            </w:r>
          </w:p>
          <w:p w14:paraId="74EFB6A6">
            <w:pPr>
              <w:keepNext w:val="0"/>
              <w:keepLines w:val="0"/>
              <w:pageBreakBefore w:val="0"/>
              <w:widowControl w:val="0"/>
              <w:kinsoku/>
              <w:wordWrap/>
              <w:overflowPunct/>
              <w:topLinePunct w:val="0"/>
              <w:autoSpaceDE/>
              <w:autoSpaceDN/>
              <w:bidi w:val="0"/>
              <w:snapToGrid w:val="0"/>
              <w:spacing w:line="240" w:lineRule="auto"/>
              <w:ind w:left="0" w:lef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1.中国网络安全审查技术与认证中心颁发的</w:t>
            </w:r>
            <w:r>
              <w:rPr>
                <w:rFonts w:hint="eastAsia" w:ascii="宋体" w:hAnsi="宋体" w:eastAsia="宋体" w:cs="宋体"/>
                <w:color w:val="auto"/>
                <w:sz w:val="24"/>
                <w:szCs w:val="24"/>
                <w:highlight w:val="none"/>
              </w:rPr>
              <w:t>信息安全保障人员认证证书（CISAW）</w:t>
            </w:r>
            <w:r>
              <w:rPr>
                <w:rFonts w:hint="eastAsia" w:ascii="宋体" w:hAnsi="宋体" w:eastAsia="宋体" w:cs="宋体"/>
                <w:color w:val="auto"/>
                <w:sz w:val="24"/>
                <w:szCs w:val="24"/>
                <w:highlight w:val="none"/>
                <w:lang w:eastAsia="zh-CN"/>
              </w:rPr>
              <w:t>；</w:t>
            </w:r>
          </w:p>
          <w:p w14:paraId="378DBDC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2.中国信息安全测评中心颁发的</w:t>
            </w:r>
            <w:r>
              <w:rPr>
                <w:rFonts w:hint="eastAsia" w:ascii="宋体" w:hAnsi="宋体" w:eastAsia="宋体" w:cs="宋体"/>
                <w:color w:val="auto"/>
                <w:sz w:val="24"/>
                <w:szCs w:val="24"/>
                <w:highlight w:val="none"/>
              </w:rPr>
              <w:t>注册数据安全治理专业人员证书（CISP-DSG）；</w:t>
            </w:r>
          </w:p>
          <w:p w14:paraId="0196D9DB">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bCs/>
                <w:color w:val="auto"/>
                <w:kern w:val="0"/>
                <w:sz w:val="24"/>
                <w:szCs w:val="24"/>
                <w:highlight w:val="none"/>
                <w:lang w:val="en-US" w:eastAsia="zh-CN"/>
              </w:rPr>
              <w:t>工业和信息化部教育与考试中心颁发的网络安全等保测评工程师（高级）证书</w:t>
            </w:r>
            <w:r>
              <w:rPr>
                <w:rFonts w:hint="eastAsia" w:ascii="宋体" w:hAnsi="宋体" w:eastAsia="宋体" w:cs="宋体"/>
                <w:color w:val="auto"/>
                <w:sz w:val="24"/>
                <w:szCs w:val="24"/>
                <w:highlight w:val="none"/>
              </w:rPr>
              <w:t>；</w:t>
            </w:r>
          </w:p>
          <w:p w14:paraId="248A0AE5">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4.中国信息安全测评中心颁发的</w:t>
            </w:r>
            <w:r>
              <w:rPr>
                <w:rFonts w:hint="eastAsia" w:ascii="宋体" w:hAnsi="宋体" w:eastAsia="宋体" w:cs="宋体"/>
                <w:color w:val="auto"/>
                <w:sz w:val="24"/>
                <w:szCs w:val="24"/>
                <w:highlight w:val="none"/>
              </w:rPr>
              <w:t>注册渗透测试专家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CISP-PTS</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证书</w:t>
            </w:r>
            <w:r>
              <w:rPr>
                <w:rFonts w:hint="eastAsia" w:ascii="宋体" w:hAnsi="宋体" w:eastAsia="宋体" w:cs="宋体"/>
                <w:color w:val="auto"/>
                <w:sz w:val="24"/>
                <w:szCs w:val="24"/>
                <w:highlight w:val="none"/>
                <w:lang w:eastAsia="zh-CN"/>
              </w:rPr>
              <w:t>；</w:t>
            </w:r>
          </w:p>
          <w:p w14:paraId="48BAEF8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5.中国网络安全审查技术与认证中心或中国网络安全审查认证和市场监管大数据中心颁发的</w:t>
            </w:r>
            <w:r>
              <w:rPr>
                <w:rFonts w:hint="eastAsia" w:ascii="宋体" w:hAnsi="宋体" w:eastAsia="宋体" w:cs="宋体"/>
                <w:color w:val="auto"/>
                <w:sz w:val="24"/>
                <w:szCs w:val="24"/>
                <w:highlight w:val="none"/>
              </w:rPr>
              <w:t>网络安全应急响应工程师证书</w:t>
            </w:r>
            <w:r>
              <w:rPr>
                <w:rFonts w:hint="eastAsia" w:ascii="宋体" w:hAnsi="宋体" w:eastAsia="宋体" w:cs="宋体"/>
                <w:color w:val="auto"/>
                <w:sz w:val="24"/>
                <w:szCs w:val="24"/>
                <w:highlight w:val="none"/>
                <w:lang w:eastAsia="zh-CN"/>
              </w:rPr>
              <w:t>；</w:t>
            </w:r>
          </w:p>
          <w:p w14:paraId="0F003C8F">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6.国家互联网应急中心颁发的网络安全能力认证证书（CCSC）。</w:t>
            </w:r>
          </w:p>
          <w:p w14:paraId="24710FE8">
            <w:pPr>
              <w:keepNext w:val="0"/>
              <w:keepLines w:val="0"/>
              <w:pageBreakBefore w:val="0"/>
              <w:widowControl w:val="0"/>
              <w:kinsoku/>
              <w:wordWrap/>
              <w:overflowPunct/>
              <w:topLinePunct w:val="0"/>
              <w:autoSpaceDE/>
              <w:autoSpaceDN/>
              <w:bidi w:val="0"/>
              <w:adjustRightInd w:val="0"/>
              <w:snapToGrid w:val="0"/>
              <w:spacing w:line="240" w:lineRule="auto"/>
              <w:ind w:left="0" w:leftChars="0"/>
              <w:textAlignment w:val="auto"/>
              <w:rPr>
                <w:rFonts w:hint="eastAsia" w:cs="宋体"/>
                <w:b/>
                <w:bCs/>
                <w:color w:val="auto"/>
                <w:sz w:val="24"/>
                <w:szCs w:val="24"/>
                <w:highlight w:val="none"/>
                <w:lang w:eastAsia="zh-CN"/>
              </w:rPr>
            </w:pPr>
            <w:r>
              <w:rPr>
                <w:rFonts w:hint="eastAsia" w:cs="宋体"/>
                <w:b/>
                <w:bCs/>
                <w:color w:val="auto"/>
                <w:sz w:val="24"/>
                <w:szCs w:val="24"/>
                <w:highlight w:val="none"/>
                <w:lang w:val="en-US" w:eastAsia="zh-CN"/>
              </w:rPr>
              <w:t>注：1.</w:t>
            </w:r>
            <w:r>
              <w:rPr>
                <w:rFonts w:hint="eastAsia" w:ascii="宋体" w:hAnsi="宋体" w:eastAsia="宋体" w:cs="宋体"/>
                <w:b/>
                <w:bCs/>
                <w:color w:val="auto"/>
                <w:sz w:val="24"/>
                <w:szCs w:val="24"/>
                <w:highlight w:val="none"/>
              </w:rPr>
              <w:t>响应文件</w:t>
            </w:r>
            <w:r>
              <w:rPr>
                <w:rFonts w:hint="eastAsia" w:ascii="宋体" w:hAnsi="宋体" w:eastAsia="宋体" w:cs="宋体"/>
                <w:b/>
                <w:bCs/>
                <w:color w:val="auto"/>
                <w:sz w:val="24"/>
                <w:szCs w:val="24"/>
                <w:highlight w:val="none"/>
                <w:lang w:val="en-US" w:eastAsia="zh-CN"/>
              </w:rPr>
              <w:t>需提供拟投入</w:t>
            </w:r>
            <w:r>
              <w:rPr>
                <w:rFonts w:hint="eastAsia" w:ascii="宋体" w:hAnsi="宋体" w:eastAsia="宋体" w:cs="宋体"/>
                <w:b/>
                <w:bCs/>
                <w:color w:val="auto"/>
                <w:sz w:val="24"/>
                <w:szCs w:val="24"/>
                <w:highlight w:val="none"/>
              </w:rPr>
              <w:t>本项目的实施人员（不含项目经理）</w:t>
            </w:r>
            <w:r>
              <w:rPr>
                <w:rFonts w:hint="eastAsia" w:cs="宋体"/>
                <w:b/>
                <w:bCs/>
                <w:color w:val="auto"/>
                <w:sz w:val="24"/>
                <w:szCs w:val="24"/>
                <w:highlight w:val="none"/>
                <w:lang w:val="en-US" w:eastAsia="zh-CN"/>
              </w:rPr>
              <w:t>对应</w:t>
            </w:r>
            <w:r>
              <w:rPr>
                <w:rFonts w:hint="eastAsia" w:ascii="宋体" w:hAnsi="宋体" w:eastAsia="宋体" w:cs="宋体"/>
                <w:b/>
                <w:bCs/>
                <w:color w:val="auto"/>
                <w:sz w:val="24"/>
                <w:szCs w:val="24"/>
                <w:highlight w:val="none"/>
              </w:rPr>
              <w:t>有效证书</w:t>
            </w:r>
            <w:r>
              <w:rPr>
                <w:rFonts w:hint="eastAsia" w:cs="宋体"/>
                <w:b/>
                <w:bCs/>
                <w:color w:val="auto"/>
                <w:sz w:val="24"/>
                <w:szCs w:val="24"/>
                <w:highlight w:val="none"/>
                <w:lang w:eastAsia="zh-CN"/>
              </w:rPr>
              <w:t>的</w:t>
            </w:r>
            <w:r>
              <w:rPr>
                <w:rFonts w:hint="eastAsia" w:ascii="宋体" w:hAnsi="宋体" w:eastAsia="宋体" w:cs="宋体"/>
                <w:b/>
                <w:bCs/>
                <w:color w:val="auto"/>
                <w:sz w:val="24"/>
                <w:szCs w:val="24"/>
                <w:highlight w:val="none"/>
              </w:rPr>
              <w:t>复印件</w:t>
            </w: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并加盖公章，否则不计分</w:t>
            </w:r>
            <w:r>
              <w:rPr>
                <w:rFonts w:hint="eastAsia" w:cs="宋体"/>
                <w:b/>
                <w:bCs/>
                <w:color w:val="auto"/>
                <w:sz w:val="24"/>
                <w:szCs w:val="24"/>
                <w:highlight w:val="none"/>
                <w:lang w:eastAsia="zh-CN"/>
              </w:rPr>
              <w:t>。</w:t>
            </w:r>
          </w:p>
          <w:p w14:paraId="3E3ABA05">
            <w:pPr>
              <w:keepNext w:val="0"/>
              <w:keepLines w:val="0"/>
              <w:pageBreakBefore w:val="0"/>
              <w:widowControl w:val="0"/>
              <w:kinsoku/>
              <w:wordWrap/>
              <w:overflowPunct/>
              <w:topLinePunct w:val="0"/>
              <w:autoSpaceDE/>
              <w:autoSpaceDN/>
              <w:bidi w:val="0"/>
              <w:adjustRightInd w:val="0"/>
              <w:snapToGrid w:val="0"/>
              <w:spacing w:line="240" w:lineRule="auto"/>
              <w:ind w:left="0" w:leftChars="0"/>
              <w:textAlignment w:val="auto"/>
              <w:rPr>
                <w:rFonts w:hint="eastAsia" w:ascii="宋体" w:hAnsi="宋体" w:eastAsia="宋体" w:cs="宋体"/>
                <w:color w:val="auto"/>
                <w:kern w:val="2"/>
                <w:sz w:val="24"/>
                <w:szCs w:val="24"/>
                <w:highlight w:val="none"/>
                <w:lang w:val="en-US" w:eastAsia="zh-CN" w:bidi="ar-SA"/>
              </w:rPr>
            </w:pPr>
            <w:r>
              <w:rPr>
                <w:rFonts w:hint="eastAsia" w:cs="宋体"/>
                <w:b/>
                <w:bCs/>
                <w:color w:val="auto"/>
                <w:sz w:val="24"/>
                <w:szCs w:val="24"/>
                <w:highlight w:val="none"/>
                <w:lang w:val="en-US" w:eastAsia="zh-CN"/>
              </w:rPr>
              <w:t>2.</w:t>
            </w:r>
            <w:r>
              <w:rPr>
                <w:rFonts w:hint="eastAsia" w:ascii="宋体" w:hAnsi="宋体" w:eastAsia="宋体" w:cs="宋体"/>
                <w:b/>
                <w:bCs/>
                <w:color w:val="auto"/>
                <w:sz w:val="24"/>
                <w:szCs w:val="24"/>
                <w:highlight w:val="none"/>
                <w:lang w:val="en-US" w:eastAsia="zh-CN"/>
              </w:rPr>
              <w:t>存在一人多证的情况，不重复计分，</w:t>
            </w:r>
            <w:r>
              <w:rPr>
                <w:rFonts w:hint="eastAsia" w:cs="宋体"/>
                <w:b/>
                <w:bCs/>
                <w:color w:val="auto"/>
                <w:sz w:val="24"/>
                <w:szCs w:val="24"/>
                <w:highlight w:val="none"/>
                <w:lang w:val="en-US" w:eastAsia="zh-CN"/>
              </w:rPr>
              <w:t>仅</w:t>
            </w:r>
            <w:r>
              <w:rPr>
                <w:rFonts w:hint="eastAsia" w:ascii="宋体" w:hAnsi="宋体" w:eastAsia="宋体" w:cs="宋体"/>
                <w:b/>
                <w:bCs/>
                <w:color w:val="auto"/>
                <w:sz w:val="24"/>
                <w:szCs w:val="24"/>
                <w:highlight w:val="none"/>
                <w:lang w:val="en-US" w:eastAsia="zh-CN"/>
              </w:rPr>
              <w:t>按其中得分最高的计分。</w:t>
            </w:r>
          </w:p>
        </w:tc>
      </w:tr>
      <w:tr w14:paraId="5AEF1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3" w:type="pct"/>
            <w:vMerge w:val="continue"/>
            <w:noWrap w:val="0"/>
            <w:vAlign w:val="center"/>
          </w:tcPr>
          <w:p w14:paraId="067A518B">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b/>
                <w:color w:val="auto"/>
                <w:sz w:val="24"/>
                <w:szCs w:val="24"/>
                <w:highlight w:val="none"/>
              </w:rPr>
            </w:pPr>
          </w:p>
        </w:tc>
        <w:tc>
          <w:tcPr>
            <w:tcW w:w="565" w:type="pct"/>
            <w:vMerge w:val="continue"/>
            <w:noWrap w:val="0"/>
            <w:vAlign w:val="center"/>
          </w:tcPr>
          <w:p w14:paraId="6A1E84ED">
            <w:pPr>
              <w:keepNext w:val="0"/>
              <w:keepLines w:val="0"/>
              <w:pageBreakBefore w:val="0"/>
              <w:kinsoku/>
              <w:wordWrap/>
              <w:overflowPunct/>
              <w:topLinePunct w:val="0"/>
              <w:autoSpaceDE/>
              <w:autoSpaceDN/>
              <w:bidi w:val="0"/>
              <w:spacing w:line="240" w:lineRule="auto"/>
              <w:ind w:left="0" w:leftChars="0" w:hanging="9"/>
              <w:textAlignment w:val="auto"/>
              <w:rPr>
                <w:rFonts w:hint="eastAsia" w:ascii="宋体" w:hAnsi="宋体" w:eastAsia="宋体" w:cs="宋体"/>
                <w:b/>
                <w:bCs/>
                <w:color w:val="auto"/>
                <w:kern w:val="1"/>
                <w:sz w:val="24"/>
                <w:szCs w:val="24"/>
                <w:highlight w:val="none"/>
              </w:rPr>
            </w:pPr>
          </w:p>
        </w:tc>
        <w:tc>
          <w:tcPr>
            <w:tcW w:w="693" w:type="pct"/>
            <w:noWrap w:val="0"/>
            <w:vAlign w:val="center"/>
          </w:tcPr>
          <w:p w14:paraId="04B9295A">
            <w:pPr>
              <w:keepNext w:val="0"/>
              <w:keepLines w:val="0"/>
              <w:pageBreakBefore w:val="0"/>
              <w:kinsoku/>
              <w:wordWrap/>
              <w:overflowPunct/>
              <w:topLinePunct w:val="0"/>
              <w:autoSpaceDE/>
              <w:autoSpaceDN/>
              <w:bidi w:val="0"/>
              <w:spacing w:line="240" w:lineRule="auto"/>
              <w:ind w:left="0" w:leftChars="0" w:hanging="1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w:t>
            </w:r>
            <w:r>
              <w:rPr>
                <w:rFonts w:hint="eastAsia" w:cs="宋体"/>
                <w:b/>
                <w:color w:val="auto"/>
                <w:sz w:val="24"/>
                <w:szCs w:val="24"/>
                <w:highlight w:val="none"/>
                <w:lang w:val="en-US" w:eastAsia="zh-CN"/>
              </w:rPr>
              <w:t>二</w:t>
            </w:r>
            <w:r>
              <w:rPr>
                <w:rFonts w:hint="eastAsia" w:ascii="宋体" w:hAnsi="宋体" w:eastAsia="宋体" w:cs="宋体"/>
                <w:b/>
                <w:color w:val="auto"/>
                <w:sz w:val="24"/>
                <w:szCs w:val="24"/>
                <w:highlight w:val="none"/>
              </w:rPr>
              <w:t>）</w:t>
            </w:r>
          </w:p>
          <w:p w14:paraId="1E5EE8DB">
            <w:pPr>
              <w:keepNext w:val="0"/>
              <w:keepLines w:val="0"/>
              <w:pageBreakBefore w:val="0"/>
              <w:kinsoku/>
              <w:wordWrap/>
              <w:overflowPunct/>
              <w:topLinePunct w:val="0"/>
              <w:autoSpaceDE/>
              <w:autoSpaceDN/>
              <w:bidi w:val="0"/>
              <w:spacing w:line="240" w:lineRule="auto"/>
              <w:ind w:left="0" w:leftChars="0" w:hanging="1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实施</w:t>
            </w:r>
            <w:r>
              <w:rPr>
                <w:rFonts w:hint="eastAsia" w:ascii="宋体" w:hAnsi="宋体" w:eastAsia="宋体" w:cs="宋体"/>
                <w:b/>
                <w:color w:val="auto"/>
                <w:sz w:val="24"/>
                <w:szCs w:val="24"/>
                <w:highlight w:val="none"/>
                <w:lang w:val="en-US"/>
              </w:rPr>
              <w:t>方案</w:t>
            </w:r>
            <w:r>
              <w:rPr>
                <w:rFonts w:hint="eastAsia" w:ascii="宋体" w:hAnsi="宋体" w:eastAsia="宋体" w:cs="宋体"/>
                <w:b/>
                <w:color w:val="auto"/>
                <w:sz w:val="24"/>
                <w:szCs w:val="24"/>
                <w:highlight w:val="none"/>
              </w:rPr>
              <w:t>分</w:t>
            </w:r>
          </w:p>
          <w:p w14:paraId="6B60C26C">
            <w:pPr>
              <w:keepNext w:val="0"/>
              <w:keepLines w:val="0"/>
              <w:pageBreakBefore w:val="0"/>
              <w:kinsoku/>
              <w:wordWrap/>
              <w:overflowPunct/>
              <w:topLinePunct w:val="0"/>
              <w:autoSpaceDE/>
              <w:autoSpaceDN/>
              <w:bidi w:val="0"/>
              <w:spacing w:line="240" w:lineRule="auto"/>
              <w:ind w:left="0" w:leftChars="0" w:hanging="10"/>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(满分</w:t>
            </w:r>
            <w:r>
              <w:rPr>
                <w:rFonts w:hint="eastAsia" w:ascii="宋体" w:hAnsi="宋体" w:eastAsia="宋体" w:cs="宋体"/>
                <w:b/>
                <w:color w:val="auto"/>
                <w:sz w:val="24"/>
                <w:szCs w:val="24"/>
                <w:highlight w:val="none"/>
                <w:lang w:val="en-US" w:eastAsia="zh-CN"/>
              </w:rPr>
              <w:t>40</w:t>
            </w:r>
            <w:r>
              <w:rPr>
                <w:rFonts w:hint="eastAsia" w:ascii="宋体" w:hAnsi="宋体" w:eastAsia="宋体" w:cs="宋体"/>
                <w:b/>
                <w:color w:val="auto"/>
                <w:sz w:val="24"/>
                <w:szCs w:val="24"/>
                <w:highlight w:val="none"/>
              </w:rPr>
              <w:t>分)</w:t>
            </w:r>
          </w:p>
        </w:tc>
        <w:tc>
          <w:tcPr>
            <w:tcW w:w="3187" w:type="pct"/>
            <w:noWrap w:val="0"/>
            <w:vAlign w:val="center"/>
          </w:tcPr>
          <w:p w14:paraId="22AE91FF">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240" w:firstLineChars="1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由</w:t>
            </w:r>
            <w:r>
              <w:rPr>
                <w:rFonts w:hint="eastAsia" w:hAnsi="宋体" w:cs="宋体"/>
                <w:color w:val="auto"/>
                <w:kern w:val="2"/>
                <w:sz w:val="24"/>
                <w:szCs w:val="24"/>
                <w:highlight w:val="none"/>
                <w:lang w:val="en-US" w:eastAsia="zh-CN"/>
              </w:rPr>
              <w:t>专家</w:t>
            </w:r>
            <w:r>
              <w:rPr>
                <w:rFonts w:hint="eastAsia" w:ascii="宋体" w:hAnsi="宋体" w:eastAsia="宋体" w:cs="宋体"/>
                <w:color w:val="auto"/>
                <w:kern w:val="2"/>
                <w:sz w:val="24"/>
                <w:szCs w:val="24"/>
                <w:highlight w:val="none"/>
              </w:rPr>
              <w:t>在打分前根据采购需求的目标及要求，依据各</w:t>
            </w:r>
            <w:r>
              <w:rPr>
                <w:rFonts w:hint="eastAsia" w:hAnsi="宋体" w:cs="宋体"/>
                <w:color w:val="auto"/>
                <w:kern w:val="2"/>
                <w:sz w:val="24"/>
                <w:szCs w:val="24"/>
                <w:highlight w:val="none"/>
                <w:lang w:eastAsia="zh-CN"/>
              </w:rPr>
              <w:t>供应商</w:t>
            </w:r>
            <w:r>
              <w:rPr>
                <w:rFonts w:hint="eastAsia" w:ascii="宋体" w:hAnsi="宋体" w:eastAsia="宋体" w:cs="宋体"/>
                <w:color w:val="auto"/>
                <w:kern w:val="2"/>
                <w:sz w:val="24"/>
                <w:szCs w:val="24"/>
                <w:highlight w:val="none"/>
              </w:rPr>
              <w:t>提供的测评技术方案设计的合理性及完整性确定各</w:t>
            </w:r>
            <w:r>
              <w:rPr>
                <w:rFonts w:hint="eastAsia" w:hAnsi="宋体" w:cs="宋体"/>
                <w:color w:val="auto"/>
                <w:kern w:val="2"/>
                <w:sz w:val="24"/>
                <w:szCs w:val="24"/>
                <w:highlight w:val="none"/>
                <w:lang w:eastAsia="zh-CN"/>
              </w:rPr>
              <w:t>供应商</w:t>
            </w:r>
            <w:r>
              <w:rPr>
                <w:rFonts w:hint="eastAsia" w:ascii="宋体" w:hAnsi="宋体" w:eastAsia="宋体" w:cs="宋体"/>
                <w:color w:val="auto"/>
                <w:kern w:val="2"/>
                <w:sz w:val="24"/>
                <w:szCs w:val="24"/>
                <w:highlight w:val="none"/>
              </w:rPr>
              <w:t>所属档次并打分，不提供技术方案或不满足一档本项不得分。</w:t>
            </w:r>
          </w:p>
          <w:p w14:paraId="764A0595">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一档（8分）：提供的方案基本切合采购文件要求，能响应项目主要目标，满足项目基本实施要求。</w:t>
            </w:r>
          </w:p>
          <w:p w14:paraId="597D2E52">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二档（16分）：在满足第一档的基础上，能初步描述项目需求分析，提及测评方向与测评重点，方案结构基本完整，具有一定可执行性。</w:t>
            </w:r>
          </w:p>
          <w:p w14:paraId="1AED44A7">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三档（24分）：在满足第二档的基础上，能较详细地描述测评需求分析、测评方向、测评重点、拟采用的测评标准及测评方法；方案结构较为规范合理，内容较为全面详实，贴合采购人测评实际需求，具备较好的可执行性。</w:t>
            </w:r>
          </w:p>
          <w:p w14:paraId="35D8284B">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四档（32分）：在满足第三档的基础上，能进一步详细描述项目测评实现方式，分析项目重点与难点，并提出针对性的解决措施；测评流程、测评主要内容、测评设备配置描述清晰完整；方案结构规范合理，内容全面详实，紧密贴合采购人测评实际需求，可执行性强。</w:t>
            </w:r>
          </w:p>
          <w:p w14:paraId="4792086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w:t>五档（40分）：在满足第四档的基础上，能结合采购人行业特点及信息系统现状，提出具有针对性的测评实施策略；方案中对测评风险应对及应急响应措施有具体、可行的阐述；测评设备及人员配备方案科学合理，能够显著提升测评效率，完全贴合并优于采购人实际需求，具有较强的可操作性和推广价值。</w:t>
            </w:r>
          </w:p>
        </w:tc>
      </w:tr>
      <w:tr w14:paraId="28E63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3" w:type="pct"/>
            <w:vMerge w:val="continue"/>
            <w:noWrap w:val="0"/>
            <w:vAlign w:val="center"/>
          </w:tcPr>
          <w:p w14:paraId="234BE4D1">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b/>
                <w:color w:val="auto"/>
                <w:sz w:val="24"/>
                <w:szCs w:val="24"/>
                <w:highlight w:val="none"/>
              </w:rPr>
            </w:pPr>
          </w:p>
        </w:tc>
        <w:tc>
          <w:tcPr>
            <w:tcW w:w="565" w:type="pct"/>
            <w:vMerge w:val="continue"/>
            <w:noWrap w:val="0"/>
            <w:vAlign w:val="center"/>
          </w:tcPr>
          <w:p w14:paraId="0056401E">
            <w:pPr>
              <w:keepNext w:val="0"/>
              <w:keepLines w:val="0"/>
              <w:pageBreakBefore w:val="0"/>
              <w:kinsoku/>
              <w:wordWrap/>
              <w:overflowPunct/>
              <w:topLinePunct w:val="0"/>
              <w:autoSpaceDE/>
              <w:autoSpaceDN/>
              <w:bidi w:val="0"/>
              <w:spacing w:line="240" w:lineRule="auto"/>
              <w:ind w:left="0" w:leftChars="0" w:hanging="9"/>
              <w:textAlignment w:val="auto"/>
              <w:rPr>
                <w:rFonts w:hint="eastAsia" w:ascii="宋体" w:hAnsi="宋体" w:eastAsia="宋体" w:cs="宋体"/>
                <w:b/>
                <w:bCs/>
                <w:color w:val="auto"/>
                <w:kern w:val="1"/>
                <w:sz w:val="24"/>
                <w:szCs w:val="24"/>
                <w:highlight w:val="none"/>
              </w:rPr>
            </w:pPr>
          </w:p>
        </w:tc>
        <w:tc>
          <w:tcPr>
            <w:tcW w:w="693" w:type="pct"/>
            <w:noWrap w:val="0"/>
            <w:vAlign w:val="center"/>
          </w:tcPr>
          <w:p w14:paraId="56534863">
            <w:pPr>
              <w:keepNext w:val="0"/>
              <w:keepLines w:val="0"/>
              <w:pageBreakBefore w:val="0"/>
              <w:kinsoku/>
              <w:wordWrap/>
              <w:overflowPunct/>
              <w:topLinePunct w:val="0"/>
              <w:autoSpaceDE/>
              <w:autoSpaceDN/>
              <w:bidi w:val="0"/>
              <w:spacing w:line="240" w:lineRule="auto"/>
              <w:ind w:left="0" w:leftChars="0" w:hanging="10" w:firstLineChars="0"/>
              <w:jc w:val="center"/>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w:t>
            </w:r>
            <w:r>
              <w:rPr>
                <w:rFonts w:hint="default" w:cs="宋体"/>
                <w:b/>
                <w:bCs w:val="0"/>
                <w:color w:val="auto"/>
                <w:sz w:val="24"/>
                <w:szCs w:val="24"/>
                <w:highlight w:val="none"/>
                <w:lang w:val="en-US" w:eastAsia="zh-CN"/>
              </w:rPr>
              <w:t>三</w:t>
            </w:r>
            <w:r>
              <w:rPr>
                <w:rFonts w:hint="eastAsia" w:ascii="宋体" w:hAnsi="宋体" w:eastAsia="宋体" w:cs="宋体"/>
                <w:b/>
                <w:bCs w:val="0"/>
                <w:color w:val="auto"/>
                <w:sz w:val="24"/>
                <w:szCs w:val="24"/>
                <w:highlight w:val="none"/>
              </w:rPr>
              <w:t>）</w:t>
            </w:r>
          </w:p>
          <w:p w14:paraId="3F89308B">
            <w:pPr>
              <w:keepNext w:val="0"/>
              <w:keepLines w:val="0"/>
              <w:pageBreakBefore w:val="0"/>
              <w:kinsoku/>
              <w:wordWrap/>
              <w:overflowPunct/>
              <w:topLinePunct w:val="0"/>
              <w:autoSpaceDE/>
              <w:autoSpaceDN/>
              <w:bidi w:val="0"/>
              <w:spacing w:line="240" w:lineRule="auto"/>
              <w:ind w:left="0" w:leftChars="0" w:hanging="10" w:firstLineChars="0"/>
              <w:jc w:val="center"/>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售后服务方案</w:t>
            </w:r>
          </w:p>
          <w:p w14:paraId="123BFD57">
            <w:pPr>
              <w:keepNext w:val="0"/>
              <w:keepLines w:val="0"/>
              <w:pageBreakBefore w:val="0"/>
              <w:kinsoku/>
              <w:wordWrap/>
              <w:overflowPunct/>
              <w:topLinePunct w:val="0"/>
              <w:autoSpaceDE/>
              <w:autoSpaceDN/>
              <w:bidi w:val="0"/>
              <w:spacing w:line="240" w:lineRule="auto"/>
              <w:ind w:left="0" w:leftChars="0" w:hanging="10" w:firstLineChars="0"/>
              <w:jc w:val="center"/>
              <w:textAlignment w:val="auto"/>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(满分</w:t>
            </w:r>
            <w:r>
              <w:rPr>
                <w:rFonts w:hint="eastAsia" w:ascii="宋体" w:hAnsi="宋体" w:eastAsia="宋体" w:cs="宋体"/>
                <w:b/>
                <w:bCs w:val="0"/>
                <w:color w:val="auto"/>
                <w:sz w:val="24"/>
                <w:szCs w:val="24"/>
                <w:highlight w:val="none"/>
                <w:lang w:val="en-US" w:eastAsia="zh-CN"/>
              </w:rPr>
              <w:t>15</w:t>
            </w:r>
            <w:r>
              <w:rPr>
                <w:rFonts w:hint="eastAsia" w:ascii="宋体" w:hAnsi="宋体" w:eastAsia="宋体" w:cs="宋体"/>
                <w:b/>
                <w:bCs w:val="0"/>
                <w:color w:val="auto"/>
                <w:sz w:val="24"/>
                <w:szCs w:val="24"/>
                <w:highlight w:val="none"/>
              </w:rPr>
              <w:t>分)</w:t>
            </w:r>
          </w:p>
        </w:tc>
        <w:tc>
          <w:tcPr>
            <w:tcW w:w="3187" w:type="pct"/>
            <w:noWrap w:val="0"/>
            <w:vAlign w:val="center"/>
          </w:tcPr>
          <w:p w14:paraId="61D726C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80" w:firstLineChars="2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由评标委员会在打分前根据采购需求的目标及要求，依据各</w:t>
            </w:r>
            <w:r>
              <w:rPr>
                <w:rFonts w:hint="eastAsia" w:cs="宋体"/>
                <w:color w:val="auto"/>
                <w:kern w:val="2"/>
                <w:sz w:val="24"/>
                <w:szCs w:val="24"/>
                <w:highlight w:val="none"/>
                <w:lang w:eastAsia="zh-CN"/>
              </w:rPr>
              <w:t>供应商</w:t>
            </w:r>
            <w:r>
              <w:rPr>
                <w:rFonts w:hint="eastAsia" w:ascii="宋体" w:hAnsi="宋体" w:eastAsia="宋体" w:cs="宋体"/>
                <w:color w:val="auto"/>
                <w:kern w:val="2"/>
                <w:sz w:val="24"/>
                <w:szCs w:val="24"/>
                <w:highlight w:val="none"/>
              </w:rPr>
              <w:t>提供的</w:t>
            </w:r>
            <w:r>
              <w:rPr>
                <w:rFonts w:hint="eastAsia" w:ascii="宋体" w:hAnsi="宋体" w:eastAsia="宋体" w:cs="宋体"/>
                <w:color w:val="auto"/>
                <w:kern w:val="2"/>
                <w:sz w:val="24"/>
                <w:szCs w:val="24"/>
                <w:highlight w:val="none"/>
                <w:lang w:val="en-US" w:eastAsia="zh-CN"/>
              </w:rPr>
              <w:t>售后服务</w:t>
            </w:r>
            <w:r>
              <w:rPr>
                <w:rFonts w:hint="eastAsia" w:ascii="宋体" w:hAnsi="宋体" w:eastAsia="宋体" w:cs="宋体"/>
                <w:color w:val="auto"/>
                <w:kern w:val="2"/>
                <w:sz w:val="24"/>
                <w:szCs w:val="24"/>
                <w:highlight w:val="none"/>
              </w:rPr>
              <w:t>方案设计的合理性及完整性确定各</w:t>
            </w:r>
            <w:r>
              <w:rPr>
                <w:rFonts w:hint="eastAsia" w:cs="宋体"/>
                <w:color w:val="auto"/>
                <w:kern w:val="2"/>
                <w:sz w:val="24"/>
                <w:szCs w:val="24"/>
                <w:highlight w:val="none"/>
                <w:lang w:eastAsia="zh-CN"/>
              </w:rPr>
              <w:t>供应商</w:t>
            </w:r>
            <w:r>
              <w:rPr>
                <w:rFonts w:hint="eastAsia" w:ascii="宋体" w:hAnsi="宋体" w:eastAsia="宋体" w:cs="宋体"/>
                <w:color w:val="auto"/>
                <w:kern w:val="2"/>
                <w:sz w:val="24"/>
                <w:szCs w:val="24"/>
                <w:highlight w:val="none"/>
              </w:rPr>
              <w:t>所属档次并打分，不提供技术方案或不满足一档本项不得分。</w:t>
            </w:r>
          </w:p>
          <w:p w14:paraId="36E0D556">
            <w:pPr>
              <w:keepNext w:val="0"/>
              <w:keepLines w:val="0"/>
              <w:pageBreakBefore w:val="0"/>
              <w:widowControl w:val="0"/>
              <w:kinsoku/>
              <w:wordWrap/>
              <w:overflowPunct/>
              <w:topLinePunct w:val="0"/>
              <w:autoSpaceDE/>
              <w:autoSpaceDN/>
              <w:bidi w:val="0"/>
              <w:snapToGrid w:val="0"/>
              <w:spacing w:line="240" w:lineRule="auto"/>
              <w:ind w:left="0" w:leftChars="0" w:firstLine="240" w:firstLineChars="1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一档（</w:t>
            </w: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分）：</w:t>
            </w:r>
            <w:r>
              <w:rPr>
                <w:rFonts w:hint="eastAsia" w:cs="宋体"/>
                <w:color w:val="auto"/>
                <w:kern w:val="2"/>
                <w:sz w:val="24"/>
                <w:szCs w:val="24"/>
                <w:highlight w:val="none"/>
                <w:lang w:eastAsia="zh-CN"/>
              </w:rPr>
              <w:t>供应商</w:t>
            </w:r>
            <w:r>
              <w:rPr>
                <w:rFonts w:hint="eastAsia" w:ascii="宋体" w:hAnsi="宋体" w:eastAsia="宋体" w:cs="宋体"/>
                <w:color w:val="auto"/>
                <w:kern w:val="0"/>
                <w:sz w:val="24"/>
                <w:szCs w:val="24"/>
                <w:highlight w:val="none"/>
                <w:lang w:val="en-US" w:eastAsia="zh-CN"/>
              </w:rPr>
              <w:t>承诺的服务内容、应急响应时间、重大活动应急支撑、售后服务保障流程基本满足本项目需求</w:t>
            </w:r>
            <w:r>
              <w:rPr>
                <w:rFonts w:hint="eastAsia" w:ascii="宋体" w:hAnsi="宋体" w:eastAsia="宋体" w:cs="宋体"/>
                <w:color w:val="auto"/>
                <w:kern w:val="2"/>
                <w:sz w:val="24"/>
                <w:szCs w:val="24"/>
                <w:highlight w:val="none"/>
              </w:rPr>
              <w:t>。且</w:t>
            </w:r>
            <w:r>
              <w:rPr>
                <w:rFonts w:hint="eastAsia" w:cs="宋体"/>
                <w:color w:val="auto"/>
                <w:kern w:val="2"/>
                <w:sz w:val="24"/>
                <w:szCs w:val="24"/>
                <w:highlight w:val="none"/>
                <w:lang w:eastAsia="zh-CN"/>
              </w:rPr>
              <w:t>供应商</w:t>
            </w:r>
            <w:r>
              <w:rPr>
                <w:rFonts w:hint="eastAsia" w:ascii="宋体" w:hAnsi="宋体" w:eastAsia="宋体" w:cs="宋体"/>
                <w:color w:val="auto"/>
                <w:kern w:val="2"/>
                <w:sz w:val="24"/>
                <w:szCs w:val="24"/>
                <w:highlight w:val="none"/>
              </w:rPr>
              <w:t>承诺为本项目投入</w:t>
            </w:r>
            <w:r>
              <w:rPr>
                <w:rFonts w:hint="eastAsia" w:ascii="宋体" w:hAnsi="宋体" w:eastAsia="宋体" w:cs="宋体"/>
                <w:color w:val="auto"/>
                <w:kern w:val="0"/>
                <w:sz w:val="24"/>
                <w:szCs w:val="24"/>
                <w:highlight w:val="none"/>
              </w:rPr>
              <w:t>注册信息安全</w:t>
            </w:r>
            <w:r>
              <w:rPr>
                <w:rFonts w:hint="eastAsia" w:ascii="宋体" w:hAnsi="宋体" w:eastAsia="宋体" w:cs="宋体"/>
                <w:color w:val="auto"/>
                <w:kern w:val="0"/>
                <w:sz w:val="24"/>
                <w:szCs w:val="24"/>
                <w:highlight w:val="none"/>
                <w:lang w:eastAsia="zh-CN"/>
              </w:rPr>
              <w:t>工程师证书（</w:t>
            </w:r>
            <w:r>
              <w:rPr>
                <w:rFonts w:hint="eastAsia" w:ascii="宋体" w:hAnsi="宋体" w:eastAsia="宋体" w:cs="宋体"/>
                <w:color w:val="auto"/>
                <w:kern w:val="0"/>
                <w:sz w:val="24"/>
                <w:szCs w:val="24"/>
                <w:highlight w:val="none"/>
                <w:lang w:val="en-US" w:eastAsia="zh-CN"/>
              </w:rPr>
              <w:t>CISE</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sz w:val="24"/>
                <w:szCs w:val="24"/>
                <w:highlight w:val="none"/>
              </w:rPr>
              <w:t>2人</w:t>
            </w:r>
            <w:r>
              <w:rPr>
                <w:rFonts w:hint="eastAsia" w:ascii="宋体" w:hAnsi="宋体" w:eastAsia="宋体" w:cs="宋体"/>
                <w:color w:val="auto"/>
                <w:kern w:val="2"/>
                <w:sz w:val="24"/>
                <w:szCs w:val="24"/>
                <w:highlight w:val="none"/>
              </w:rPr>
              <w:t>。</w:t>
            </w:r>
            <w:r>
              <w:rPr>
                <w:rFonts w:hint="eastAsia" w:ascii="宋体" w:hAnsi="宋体" w:eastAsia="宋体" w:cs="宋体"/>
                <w:color w:val="auto"/>
                <w:sz w:val="24"/>
                <w:szCs w:val="24"/>
                <w:highlight w:val="none"/>
              </w:rPr>
              <w:t>（以上人员需在响应文件中提供证书复印件）</w:t>
            </w:r>
          </w:p>
          <w:p w14:paraId="13F8589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240" w:firstLineChars="10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二档（</w:t>
            </w:r>
            <w:r>
              <w:rPr>
                <w:rFonts w:hint="eastAsia" w:ascii="宋体" w:hAnsi="宋体" w:eastAsia="宋体" w:cs="宋体"/>
                <w:color w:val="auto"/>
                <w:kern w:val="2"/>
                <w:sz w:val="24"/>
                <w:szCs w:val="24"/>
                <w:highlight w:val="none"/>
                <w:lang w:val="en-US" w:eastAsia="zh-CN"/>
              </w:rPr>
              <w:t>10</w:t>
            </w:r>
            <w:r>
              <w:rPr>
                <w:rFonts w:hint="eastAsia" w:ascii="宋体" w:hAnsi="宋体" w:eastAsia="宋体" w:cs="宋体"/>
                <w:color w:val="auto"/>
                <w:kern w:val="2"/>
                <w:sz w:val="24"/>
                <w:szCs w:val="24"/>
                <w:highlight w:val="none"/>
              </w:rPr>
              <w:t>分）：</w:t>
            </w:r>
            <w:r>
              <w:rPr>
                <w:rFonts w:hint="eastAsia" w:ascii="宋体" w:hAnsi="宋体" w:eastAsia="宋体" w:cs="宋体"/>
                <w:color w:val="auto"/>
                <w:kern w:val="2"/>
                <w:sz w:val="24"/>
                <w:szCs w:val="24"/>
                <w:highlight w:val="none"/>
                <w:lang w:val="en-US" w:eastAsia="zh-CN"/>
              </w:rPr>
              <w:t>在第一档的基础上，</w:t>
            </w:r>
            <w:r>
              <w:rPr>
                <w:rFonts w:hint="eastAsia" w:cs="宋体"/>
                <w:color w:val="auto"/>
                <w:kern w:val="2"/>
                <w:sz w:val="24"/>
                <w:szCs w:val="24"/>
                <w:highlight w:val="none"/>
                <w:lang w:eastAsia="zh-CN"/>
              </w:rPr>
              <w:t>供应商</w:t>
            </w:r>
            <w:r>
              <w:rPr>
                <w:rFonts w:hint="eastAsia" w:ascii="宋体" w:hAnsi="宋体" w:eastAsia="宋体" w:cs="宋体"/>
                <w:color w:val="auto"/>
                <w:kern w:val="0"/>
                <w:sz w:val="24"/>
                <w:szCs w:val="24"/>
                <w:highlight w:val="none"/>
                <w:lang w:val="en-US" w:eastAsia="zh-CN"/>
              </w:rPr>
              <w:t>加入售后服务质量保障措施、售后服务组织机构、应急保障方案等内容，且提供的售后服务方案规范性及标准化程度合理</w:t>
            </w:r>
            <w:r>
              <w:rPr>
                <w:rFonts w:hint="eastAsia" w:ascii="宋体" w:hAnsi="宋体" w:eastAsia="宋体" w:cs="宋体"/>
                <w:color w:val="auto"/>
                <w:kern w:val="2"/>
                <w:sz w:val="24"/>
                <w:szCs w:val="24"/>
                <w:highlight w:val="none"/>
              </w:rPr>
              <w:t>。且</w:t>
            </w:r>
            <w:r>
              <w:rPr>
                <w:rFonts w:hint="eastAsia" w:cs="宋体"/>
                <w:color w:val="auto"/>
                <w:kern w:val="2"/>
                <w:sz w:val="24"/>
                <w:szCs w:val="24"/>
                <w:highlight w:val="none"/>
                <w:lang w:eastAsia="zh-CN"/>
              </w:rPr>
              <w:t>供应商</w:t>
            </w:r>
            <w:r>
              <w:rPr>
                <w:rFonts w:hint="eastAsia" w:ascii="宋体" w:hAnsi="宋体" w:eastAsia="宋体" w:cs="宋体"/>
                <w:color w:val="auto"/>
                <w:kern w:val="2"/>
                <w:sz w:val="24"/>
                <w:szCs w:val="24"/>
                <w:highlight w:val="none"/>
              </w:rPr>
              <w:t>承诺为本项目投入</w:t>
            </w:r>
            <w:r>
              <w:rPr>
                <w:rFonts w:hint="eastAsia" w:cs="宋体"/>
                <w:color w:val="auto"/>
                <w:kern w:val="2"/>
                <w:sz w:val="24"/>
                <w:szCs w:val="24"/>
                <w:highlight w:val="none"/>
                <w:lang w:val="en-US" w:eastAsia="zh-CN"/>
              </w:rPr>
              <w:t>售后</w:t>
            </w:r>
            <w:r>
              <w:rPr>
                <w:rFonts w:hint="eastAsia" w:ascii="宋体" w:hAnsi="宋体" w:eastAsia="宋体" w:cs="宋体"/>
                <w:color w:val="auto"/>
                <w:sz w:val="24"/>
                <w:szCs w:val="24"/>
                <w:highlight w:val="none"/>
              </w:rPr>
              <w:t>团队中至少包含</w:t>
            </w:r>
            <w:r>
              <w:rPr>
                <w:rFonts w:hint="eastAsia" w:ascii="宋体" w:hAnsi="宋体" w:eastAsia="宋体" w:cs="宋体"/>
                <w:color w:val="auto"/>
                <w:kern w:val="0"/>
                <w:sz w:val="24"/>
                <w:szCs w:val="24"/>
                <w:highlight w:val="none"/>
              </w:rPr>
              <w:t>注册信息安全</w:t>
            </w:r>
            <w:r>
              <w:rPr>
                <w:rFonts w:hint="eastAsia" w:ascii="宋体" w:hAnsi="宋体" w:eastAsia="宋体" w:cs="宋体"/>
                <w:color w:val="auto"/>
                <w:kern w:val="0"/>
                <w:sz w:val="24"/>
                <w:szCs w:val="24"/>
                <w:highlight w:val="none"/>
                <w:lang w:eastAsia="zh-CN"/>
              </w:rPr>
              <w:t>工程师证书（</w:t>
            </w:r>
            <w:r>
              <w:rPr>
                <w:rFonts w:hint="eastAsia" w:ascii="宋体" w:hAnsi="宋体" w:eastAsia="宋体" w:cs="宋体"/>
                <w:color w:val="auto"/>
                <w:kern w:val="0"/>
                <w:sz w:val="24"/>
                <w:szCs w:val="24"/>
                <w:highlight w:val="none"/>
                <w:lang w:val="en-US" w:eastAsia="zh-CN"/>
              </w:rPr>
              <w:t>CISE</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3人,</w:t>
            </w:r>
            <w:r>
              <w:rPr>
                <w:rFonts w:hint="eastAsia" w:ascii="宋体" w:hAnsi="宋体" w:eastAsia="宋体" w:cs="宋体"/>
                <w:sz w:val="24"/>
                <w:szCs w:val="24"/>
                <w:highlight w:val="none"/>
                <w:lang w:val="en-US" w:eastAsia="zh-CN"/>
              </w:rPr>
              <w:t>公安部第三研究所教育和评价中心颁发的信息网络安全专业人员认证证书1</w:t>
            </w:r>
            <w:r>
              <w:rPr>
                <w:rFonts w:hint="eastAsia" w:ascii="宋体" w:hAnsi="宋体" w:eastAsia="宋体" w:cs="宋体"/>
                <w:color w:val="auto"/>
                <w:sz w:val="24"/>
                <w:szCs w:val="24"/>
                <w:highlight w:val="none"/>
                <w:lang w:val="en-US" w:eastAsia="zh-CN"/>
              </w:rPr>
              <w:t>人</w:t>
            </w:r>
            <w:r>
              <w:rPr>
                <w:rFonts w:hint="eastAsia" w:ascii="宋体" w:hAnsi="宋体" w:eastAsia="宋体" w:cs="宋体"/>
                <w:color w:val="auto"/>
                <w:sz w:val="24"/>
                <w:szCs w:val="24"/>
                <w:highlight w:val="none"/>
              </w:rPr>
              <w:t>。（以上人员需在响应文件中提供证书复印件）</w:t>
            </w:r>
            <w:r>
              <w:rPr>
                <w:rFonts w:hint="eastAsia" w:ascii="宋体" w:hAnsi="宋体" w:eastAsia="宋体" w:cs="宋体"/>
                <w:color w:val="auto"/>
                <w:kern w:val="2"/>
                <w:sz w:val="24"/>
                <w:szCs w:val="24"/>
                <w:highlight w:val="none"/>
              </w:rPr>
              <w:t>。</w:t>
            </w:r>
          </w:p>
          <w:p w14:paraId="5B39E56A">
            <w:pPr>
              <w:keepNext w:val="0"/>
              <w:keepLines w:val="0"/>
              <w:pageBreakBefore w:val="0"/>
              <w:widowControl w:val="0"/>
              <w:kinsoku/>
              <w:wordWrap/>
              <w:overflowPunct/>
              <w:topLinePunct w:val="0"/>
              <w:autoSpaceDE/>
              <w:autoSpaceDN/>
              <w:bidi w:val="0"/>
              <w:snapToGrid w:val="0"/>
              <w:spacing w:line="240" w:lineRule="auto"/>
              <w:ind w:left="0" w:leftChars="0" w:firstLine="240" w:firstLineChars="1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rPr>
              <w:t>三档（</w:t>
            </w:r>
            <w:r>
              <w:rPr>
                <w:rFonts w:hint="eastAsia" w:ascii="宋体" w:hAnsi="宋体" w:eastAsia="宋体" w:cs="宋体"/>
                <w:color w:val="auto"/>
                <w:kern w:val="2"/>
                <w:sz w:val="24"/>
                <w:szCs w:val="24"/>
                <w:highlight w:val="none"/>
                <w:lang w:val="en-US" w:eastAsia="zh-CN"/>
              </w:rPr>
              <w:t>15</w:t>
            </w:r>
            <w:r>
              <w:rPr>
                <w:rFonts w:hint="eastAsia" w:ascii="宋体" w:hAnsi="宋体" w:eastAsia="宋体" w:cs="宋体"/>
                <w:color w:val="auto"/>
                <w:kern w:val="2"/>
                <w:sz w:val="24"/>
                <w:szCs w:val="24"/>
                <w:highlight w:val="none"/>
              </w:rPr>
              <w:t>分）：</w:t>
            </w:r>
            <w:r>
              <w:rPr>
                <w:rFonts w:hint="eastAsia" w:ascii="宋体" w:hAnsi="宋体" w:eastAsia="宋体" w:cs="宋体"/>
                <w:color w:val="auto"/>
                <w:kern w:val="2"/>
                <w:sz w:val="24"/>
                <w:szCs w:val="24"/>
                <w:highlight w:val="none"/>
                <w:lang w:val="en-US" w:eastAsia="zh-CN"/>
              </w:rPr>
              <w:t>在第二档的基础上</w:t>
            </w:r>
            <w:r>
              <w:rPr>
                <w:rFonts w:hint="eastAsia" w:ascii="宋体" w:hAnsi="宋体" w:eastAsia="宋体" w:cs="宋体"/>
                <w:color w:val="auto"/>
                <w:kern w:val="2"/>
                <w:sz w:val="24"/>
                <w:szCs w:val="24"/>
                <w:highlight w:val="none"/>
              </w:rPr>
              <w:t>，</w:t>
            </w:r>
            <w:r>
              <w:rPr>
                <w:rFonts w:hint="eastAsia" w:cs="宋体"/>
                <w:color w:val="auto"/>
                <w:kern w:val="2"/>
                <w:sz w:val="24"/>
                <w:szCs w:val="24"/>
                <w:highlight w:val="none"/>
                <w:lang w:val="en-US" w:eastAsia="zh-CN"/>
              </w:rPr>
              <w:t>供应商</w:t>
            </w:r>
            <w:r>
              <w:rPr>
                <w:rFonts w:hint="eastAsia" w:ascii="宋体" w:hAnsi="宋体" w:eastAsia="宋体" w:cs="宋体"/>
                <w:color w:val="auto"/>
                <w:kern w:val="2"/>
                <w:sz w:val="24"/>
                <w:szCs w:val="24"/>
                <w:highlight w:val="none"/>
                <w:lang w:val="en-US" w:eastAsia="zh-CN"/>
              </w:rPr>
              <w:t>在售后服务方案中加入具有针对性的</w:t>
            </w:r>
            <w:r>
              <w:rPr>
                <w:rFonts w:hint="eastAsia" w:ascii="宋体" w:hAnsi="宋体" w:eastAsia="宋体" w:cs="宋体"/>
                <w:color w:val="auto"/>
                <w:kern w:val="2"/>
                <w:sz w:val="24"/>
                <w:szCs w:val="24"/>
                <w:highlight w:val="none"/>
              </w:rPr>
              <w:t>项目</w:t>
            </w:r>
            <w:r>
              <w:rPr>
                <w:rFonts w:hint="eastAsia" w:ascii="宋体" w:hAnsi="宋体" w:eastAsia="宋体" w:cs="宋体"/>
                <w:color w:val="auto"/>
                <w:kern w:val="2"/>
                <w:sz w:val="24"/>
                <w:szCs w:val="24"/>
                <w:highlight w:val="none"/>
                <w:lang w:val="en-US" w:eastAsia="zh-CN"/>
              </w:rPr>
              <w:t>售后</w:t>
            </w:r>
            <w:r>
              <w:rPr>
                <w:rFonts w:hint="eastAsia" w:ascii="宋体" w:hAnsi="宋体" w:eastAsia="宋体" w:cs="宋体"/>
                <w:color w:val="auto"/>
                <w:kern w:val="2"/>
                <w:sz w:val="24"/>
                <w:szCs w:val="24"/>
                <w:highlight w:val="none"/>
              </w:rPr>
              <w:t>管理方案</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lang w:val="en-US" w:eastAsia="zh-CN"/>
              </w:rPr>
              <w:t>培训方案、验收方案，且</w:t>
            </w:r>
            <w:r>
              <w:rPr>
                <w:rFonts w:hint="eastAsia" w:ascii="宋体" w:hAnsi="宋体" w:eastAsia="宋体" w:cs="宋体"/>
                <w:color w:val="auto"/>
                <w:kern w:val="2"/>
                <w:sz w:val="24"/>
                <w:szCs w:val="24"/>
                <w:highlight w:val="none"/>
              </w:rPr>
              <w:t>方案具体细致、全面</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明确，管理方案规范性及标准化程度较高。且</w:t>
            </w:r>
            <w:r>
              <w:rPr>
                <w:rFonts w:hint="eastAsia" w:cs="宋体"/>
                <w:color w:val="auto"/>
                <w:kern w:val="2"/>
                <w:sz w:val="24"/>
                <w:szCs w:val="24"/>
                <w:highlight w:val="none"/>
                <w:lang w:eastAsia="zh-CN"/>
              </w:rPr>
              <w:t>供应商</w:t>
            </w:r>
            <w:r>
              <w:rPr>
                <w:rFonts w:hint="eastAsia" w:ascii="宋体" w:hAnsi="宋体" w:eastAsia="宋体" w:cs="宋体"/>
                <w:color w:val="auto"/>
                <w:kern w:val="2"/>
                <w:sz w:val="24"/>
                <w:szCs w:val="24"/>
                <w:highlight w:val="none"/>
              </w:rPr>
              <w:t>承诺为本项目投入</w:t>
            </w:r>
            <w:r>
              <w:rPr>
                <w:rFonts w:hint="eastAsia" w:ascii="宋体" w:hAnsi="宋体" w:eastAsia="宋体" w:cs="宋体"/>
                <w:color w:val="auto"/>
                <w:kern w:val="0"/>
                <w:sz w:val="24"/>
                <w:szCs w:val="24"/>
                <w:highlight w:val="none"/>
              </w:rPr>
              <w:t>服务团队中至少包含，注册信息安全</w:t>
            </w:r>
            <w:r>
              <w:rPr>
                <w:rFonts w:hint="eastAsia" w:ascii="宋体" w:hAnsi="宋体" w:eastAsia="宋体" w:cs="宋体"/>
                <w:color w:val="auto"/>
                <w:kern w:val="0"/>
                <w:sz w:val="24"/>
                <w:szCs w:val="24"/>
                <w:highlight w:val="none"/>
                <w:lang w:eastAsia="zh-CN"/>
              </w:rPr>
              <w:t>工程师证书（</w:t>
            </w:r>
            <w:r>
              <w:rPr>
                <w:rFonts w:hint="eastAsia" w:ascii="宋体" w:hAnsi="宋体" w:eastAsia="宋体" w:cs="宋体"/>
                <w:color w:val="auto"/>
                <w:kern w:val="0"/>
                <w:sz w:val="24"/>
                <w:szCs w:val="24"/>
                <w:highlight w:val="none"/>
                <w:lang w:val="en-US" w:eastAsia="zh-CN"/>
              </w:rPr>
              <w:t>CISE</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5人，</w:t>
            </w:r>
            <w:r>
              <w:rPr>
                <w:rFonts w:hint="eastAsia" w:ascii="宋体" w:hAnsi="宋体" w:eastAsia="宋体" w:cs="宋体"/>
                <w:sz w:val="24"/>
                <w:szCs w:val="24"/>
                <w:highlight w:val="none"/>
                <w:lang w:val="en-US" w:eastAsia="zh-CN"/>
              </w:rPr>
              <w:t>公安部第三研究所教育和评价中心颁发的信息网络安全专业人员认证证书2</w:t>
            </w:r>
            <w:r>
              <w:rPr>
                <w:rFonts w:hint="eastAsia" w:ascii="宋体" w:hAnsi="宋体" w:eastAsia="宋体" w:cs="宋体"/>
                <w:color w:val="auto"/>
                <w:sz w:val="24"/>
                <w:szCs w:val="24"/>
                <w:highlight w:val="none"/>
                <w:lang w:val="en-US" w:eastAsia="zh-CN"/>
              </w:rPr>
              <w:t>人，</w:t>
            </w:r>
            <w:r>
              <w:rPr>
                <w:rFonts w:hint="eastAsia" w:ascii="宋体" w:hAnsi="宋体" w:eastAsia="宋体" w:cs="宋体"/>
                <w:kern w:val="0"/>
                <w:sz w:val="24"/>
                <w:szCs w:val="24"/>
              </w:rPr>
              <w:t>网络与数据安全人员能力认证</w:t>
            </w:r>
            <w:r>
              <w:rPr>
                <w:rFonts w:hint="eastAsia" w:ascii="宋体" w:hAnsi="宋体" w:eastAsia="宋体" w:cs="宋体"/>
                <w:kern w:val="0"/>
                <w:sz w:val="24"/>
                <w:szCs w:val="24"/>
                <w:lang w:val="en-US" w:eastAsia="zh-CN"/>
              </w:rPr>
              <w:t>-网络安全应急响应工程师认证证书（CCRC-CSERE）</w:t>
            </w: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人</w:t>
            </w:r>
            <w:r>
              <w:rPr>
                <w:rFonts w:hint="eastAsia" w:ascii="宋体" w:hAnsi="宋体" w:eastAsia="宋体" w:cs="宋体"/>
                <w:color w:val="auto"/>
                <w:kern w:val="0"/>
                <w:sz w:val="24"/>
                <w:szCs w:val="24"/>
                <w:highlight w:val="none"/>
              </w:rPr>
              <w:t>。（以上人员需在响应文件中提供证书复印件）</w:t>
            </w:r>
            <w:r>
              <w:rPr>
                <w:rFonts w:hint="eastAsia" w:ascii="宋体" w:hAnsi="宋体" w:eastAsia="宋体" w:cs="宋体"/>
                <w:color w:val="auto"/>
                <w:kern w:val="2"/>
                <w:sz w:val="24"/>
                <w:szCs w:val="24"/>
                <w:highlight w:val="none"/>
                <w:lang w:eastAsia="zh-CN"/>
              </w:rPr>
              <w:t>。</w:t>
            </w:r>
          </w:p>
        </w:tc>
      </w:tr>
      <w:tr w14:paraId="1EB65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53" w:type="pct"/>
            <w:noWrap w:val="0"/>
            <w:vAlign w:val="center"/>
          </w:tcPr>
          <w:p w14:paraId="17C08288">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③</w:t>
            </w:r>
          </w:p>
        </w:tc>
        <w:tc>
          <w:tcPr>
            <w:tcW w:w="1259" w:type="pct"/>
            <w:gridSpan w:val="2"/>
            <w:noWrap w:val="0"/>
            <w:vAlign w:val="center"/>
          </w:tcPr>
          <w:p w14:paraId="31F9654F">
            <w:pPr>
              <w:pStyle w:val="24"/>
              <w:keepNext w:val="0"/>
              <w:keepLines w:val="0"/>
              <w:pageBreakBefore w:val="0"/>
              <w:kinsoku/>
              <w:wordWrap/>
              <w:overflowPunct/>
              <w:topLinePunct w:val="0"/>
              <w:autoSpaceDE/>
              <w:autoSpaceDN/>
              <w:bidi w:val="0"/>
              <w:spacing w:line="240" w:lineRule="auto"/>
              <w:ind w:left="0" w:leftChars="0"/>
              <w:jc w:val="center"/>
              <w:textAlignment w:val="auto"/>
              <w:rPr>
                <w:rFonts w:hint="eastAsia" w:ascii="宋体" w:hAnsi="宋体" w:eastAsia="宋体" w:cs="宋体"/>
                <w:b/>
                <w:color w:val="auto"/>
                <w:sz w:val="24"/>
                <w:szCs w:val="24"/>
                <w:highlight w:val="none"/>
                <w:lang w:val="en-US"/>
              </w:rPr>
            </w:pPr>
            <w:r>
              <w:rPr>
                <w:rFonts w:hint="eastAsia" w:cs="宋体"/>
                <w:b/>
                <w:color w:val="auto"/>
                <w:sz w:val="24"/>
                <w:szCs w:val="24"/>
                <w:highlight w:val="none"/>
                <w:lang w:val="en-US" w:eastAsia="zh-CN"/>
              </w:rPr>
              <w:t>三、企业实力</w:t>
            </w:r>
            <w:r>
              <w:rPr>
                <w:rFonts w:hint="eastAsia" w:ascii="宋体" w:hAnsi="宋体" w:eastAsia="宋体" w:cs="宋体"/>
                <w:b/>
                <w:color w:val="auto"/>
                <w:sz w:val="24"/>
                <w:szCs w:val="24"/>
                <w:highlight w:val="none"/>
                <w:lang w:val="en-US"/>
              </w:rPr>
              <w:t>分</w:t>
            </w:r>
          </w:p>
          <w:p w14:paraId="3F45D3A5">
            <w:pPr>
              <w:pStyle w:val="24"/>
              <w:keepNext w:val="0"/>
              <w:keepLines w:val="0"/>
              <w:pageBreakBefore w:val="0"/>
              <w:kinsoku/>
              <w:wordWrap/>
              <w:overflowPunct/>
              <w:topLinePunct w:val="0"/>
              <w:autoSpaceDE/>
              <w:autoSpaceDN/>
              <w:bidi w:val="0"/>
              <w:spacing w:line="240" w:lineRule="auto"/>
              <w:ind w:left="0" w:lef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cs="宋体"/>
                <w:b/>
                <w:bCs/>
                <w:color w:val="auto"/>
                <w:sz w:val="24"/>
                <w:szCs w:val="24"/>
                <w:highlight w:val="none"/>
                <w:lang w:val="en-US" w:eastAsia="zh-CN"/>
              </w:rPr>
              <w:t>满分16</w:t>
            </w:r>
            <w:r>
              <w:rPr>
                <w:rFonts w:hint="eastAsia" w:ascii="宋体" w:hAnsi="宋体" w:eastAsia="宋体" w:cs="宋体"/>
                <w:b/>
                <w:bCs/>
                <w:color w:val="auto"/>
                <w:sz w:val="24"/>
                <w:szCs w:val="24"/>
                <w:highlight w:val="none"/>
              </w:rPr>
              <w:t>分）</w:t>
            </w:r>
          </w:p>
        </w:tc>
        <w:tc>
          <w:tcPr>
            <w:tcW w:w="3187" w:type="pct"/>
            <w:noWrap w:val="0"/>
            <w:vAlign w:val="center"/>
          </w:tcPr>
          <w:p w14:paraId="091904BF">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hAnsi="宋体" w:cs="宋体"/>
                <w:color w:val="auto"/>
                <w:sz w:val="24"/>
                <w:szCs w:val="24"/>
                <w:highlight w:val="none"/>
                <w:lang w:eastAsia="zh-CN"/>
              </w:rPr>
              <w:t>供应商</w:t>
            </w:r>
            <w:r>
              <w:rPr>
                <w:rFonts w:hint="eastAsia" w:ascii="宋体" w:hAnsi="宋体" w:eastAsia="宋体" w:cs="宋体"/>
                <w:color w:val="auto"/>
                <w:sz w:val="24"/>
                <w:szCs w:val="24"/>
                <w:highlight w:val="none"/>
                <w:lang w:val="en-US" w:eastAsia="zh-CN"/>
              </w:rPr>
              <w:t>具备</w:t>
            </w:r>
            <w:r>
              <w:rPr>
                <w:rFonts w:hint="eastAsia" w:ascii="宋体" w:hAnsi="宋体" w:eastAsia="宋体" w:cs="宋体"/>
                <w:color w:val="auto"/>
                <w:sz w:val="24"/>
                <w:szCs w:val="24"/>
                <w:highlight w:val="none"/>
              </w:rPr>
              <w:t>认证范围</w:t>
            </w:r>
            <w:r>
              <w:rPr>
                <w:rFonts w:hint="eastAsia" w:ascii="宋体" w:hAnsi="宋体" w:eastAsia="宋体" w:cs="宋体"/>
                <w:color w:val="auto"/>
                <w:sz w:val="24"/>
                <w:szCs w:val="24"/>
                <w:highlight w:val="none"/>
                <w:lang w:val="en-US" w:eastAsia="zh-CN"/>
              </w:rPr>
              <w:t>至少包含</w:t>
            </w:r>
            <w:r>
              <w:rPr>
                <w:rFonts w:hint="eastAsia" w:ascii="宋体" w:hAnsi="宋体" w:eastAsia="宋体" w:cs="宋体"/>
                <w:color w:val="auto"/>
                <w:sz w:val="24"/>
                <w:szCs w:val="24"/>
                <w:highlight w:val="none"/>
              </w:rPr>
              <w:t>等级保护测评服务</w:t>
            </w:r>
            <w:r>
              <w:rPr>
                <w:rFonts w:hint="eastAsia" w:ascii="宋体" w:hAnsi="宋体" w:eastAsia="宋体" w:cs="宋体"/>
                <w:color w:val="auto"/>
                <w:sz w:val="24"/>
                <w:szCs w:val="24"/>
                <w:highlight w:val="none"/>
                <w:lang w:val="en-US" w:eastAsia="zh-CN"/>
              </w:rPr>
              <w:t>且在有效期内的ISO9001质量管理体系认证证书、ISO45001职业健康安全管理体系认证证书、ISO27001信息安全管理体系认证证书、ISO20000信息技术服务管理体系认证证书，每提供一份</w:t>
            </w:r>
            <w:r>
              <w:rPr>
                <w:rFonts w:hint="eastAsia" w:ascii="宋体" w:hAnsi="宋体" w:eastAsia="宋体" w:cs="宋体"/>
                <w:color w:val="auto"/>
                <w:sz w:val="24"/>
                <w:szCs w:val="24"/>
                <w:highlight w:val="none"/>
              </w:rPr>
              <w:t>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满分4分</w:t>
            </w:r>
            <w:r>
              <w:rPr>
                <w:rFonts w:hint="eastAsia" w:ascii="宋体" w:hAnsi="宋体" w:eastAsia="宋体" w:cs="宋体"/>
                <w:color w:val="auto"/>
                <w:sz w:val="24"/>
                <w:szCs w:val="24"/>
                <w:highlight w:val="none"/>
                <w:lang w:eastAsia="zh-CN"/>
              </w:rPr>
              <w:t>）</w:t>
            </w:r>
          </w:p>
          <w:p w14:paraId="3D6AAE79">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hAnsi="宋体" w:cs="宋体"/>
                <w:color w:val="auto"/>
                <w:sz w:val="24"/>
                <w:szCs w:val="24"/>
                <w:highlight w:val="none"/>
                <w:lang w:eastAsia="zh-CN"/>
              </w:rPr>
              <w:t>供应商</w:t>
            </w:r>
            <w:r>
              <w:rPr>
                <w:rFonts w:hint="eastAsia" w:ascii="宋体" w:hAnsi="宋体" w:eastAsia="宋体" w:cs="宋体"/>
                <w:color w:val="auto"/>
                <w:sz w:val="24"/>
                <w:szCs w:val="24"/>
                <w:highlight w:val="none"/>
                <w:lang w:val="en-US" w:eastAsia="zh-CN"/>
              </w:rPr>
              <w:t>具有</w:t>
            </w:r>
            <w:r>
              <w:rPr>
                <w:rFonts w:hint="eastAsia" w:ascii="宋体" w:hAnsi="宋体" w:eastAsia="宋体" w:cs="宋体"/>
                <w:color w:val="auto"/>
                <w:sz w:val="24"/>
                <w:szCs w:val="24"/>
                <w:highlight w:val="none"/>
              </w:rPr>
              <w:t>中国合格评定国家认可委员会检验机构认可证书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CNAS</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得</w:t>
            </w:r>
            <w:r>
              <w:rPr>
                <w:rFonts w:hint="eastAsia" w:hAnsi="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740DADC1">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具有</w:t>
            </w:r>
            <w:r>
              <w:rPr>
                <w:rFonts w:hint="eastAsia" w:ascii="宋体" w:hAnsi="宋体" w:eastAsia="宋体" w:cs="宋体"/>
                <w:sz w:val="24"/>
                <w:szCs w:val="24"/>
                <w:lang w:val="en-US" w:eastAsia="zh-CN"/>
              </w:rPr>
              <w:t>中国网络安全审查认证和市场监管大数据中心</w:t>
            </w:r>
            <w:r>
              <w:rPr>
                <w:rFonts w:hint="eastAsia" w:ascii="宋体" w:hAnsi="宋体" w:eastAsia="宋体" w:cs="宋体"/>
                <w:b w:val="0"/>
                <w:bCs w:val="0"/>
                <w:color w:val="auto"/>
                <w:sz w:val="24"/>
                <w:szCs w:val="24"/>
                <w:highlight w:val="none"/>
              </w:rPr>
              <w:t>颁发的信息安全风险评估服务资质证书的得</w:t>
            </w:r>
            <w:r>
              <w:rPr>
                <w:rFonts w:hint="eastAsia"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rPr>
              <w:t>分。</w:t>
            </w:r>
          </w:p>
          <w:p w14:paraId="521D231E">
            <w:pPr>
              <w:keepNext w:val="0"/>
              <w:keepLines w:val="0"/>
              <w:pageBreakBefore w:val="0"/>
              <w:widowControl w:val="0"/>
              <w:kinsoku/>
              <w:wordWrap/>
              <w:overflowPunct/>
              <w:topLinePunct w:val="0"/>
              <w:autoSpaceDE/>
              <w:autoSpaceDN/>
              <w:bidi w:val="0"/>
              <w:snapToGrid w:val="0"/>
              <w:spacing w:line="240" w:lineRule="auto"/>
              <w:ind w:left="0" w:lef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cs="宋体"/>
                <w:color w:val="auto"/>
                <w:sz w:val="24"/>
                <w:szCs w:val="24"/>
                <w:highlight w:val="none"/>
                <w:lang w:val="en-US" w:eastAsia="zh-CN"/>
              </w:rPr>
              <w:t>供应商</w:t>
            </w:r>
            <w:r>
              <w:rPr>
                <w:rFonts w:hint="eastAsia" w:ascii="宋体" w:hAnsi="宋体" w:eastAsia="宋体" w:cs="宋体"/>
                <w:color w:val="auto"/>
                <w:sz w:val="24"/>
                <w:szCs w:val="24"/>
                <w:highlight w:val="none"/>
                <w:lang w:val="en-US" w:eastAsia="zh-CN"/>
              </w:rPr>
              <w:t>具有</w:t>
            </w:r>
            <w:r>
              <w:rPr>
                <w:rFonts w:hint="eastAsia" w:ascii="宋体" w:hAnsi="宋体" w:eastAsia="宋体" w:cs="宋体"/>
                <w:color w:val="auto"/>
                <w:sz w:val="24"/>
                <w:szCs w:val="24"/>
                <w:highlight w:val="none"/>
              </w:rPr>
              <w:t>与网络安全等级保护相关的“计算机软件著作权登记证书”，提供1份得1分，最高得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分。未提供不得分。</w:t>
            </w:r>
          </w:p>
          <w:p w14:paraId="12AE811C">
            <w:pPr>
              <w:pStyle w:val="19"/>
              <w:keepNext w:val="0"/>
              <w:keepLines w:val="0"/>
              <w:pageBreakBefore w:val="0"/>
              <w:widowControl w:val="0"/>
              <w:kinsoku/>
              <w:wordWrap/>
              <w:overflowPunct/>
              <w:topLinePunct w:val="0"/>
              <w:autoSpaceDE/>
              <w:autoSpaceDN/>
              <w:bidi w:val="0"/>
              <w:snapToGrid w:val="0"/>
              <w:spacing w:after="0" w:line="240" w:lineRule="auto"/>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注：以上</w:t>
            </w:r>
            <w:r>
              <w:rPr>
                <w:rFonts w:hint="eastAsia" w:ascii="宋体" w:hAnsi="宋体" w:eastAsia="宋体" w:cs="宋体"/>
                <w:color w:val="auto"/>
                <w:sz w:val="24"/>
                <w:szCs w:val="24"/>
                <w:highlight w:val="none"/>
              </w:rPr>
              <w:t>资质或资格证书</w:t>
            </w:r>
            <w:r>
              <w:rPr>
                <w:rFonts w:hint="eastAsia" w:ascii="宋体" w:hAnsi="宋体" w:eastAsia="宋体" w:cs="宋体"/>
                <w:color w:val="auto"/>
                <w:sz w:val="24"/>
                <w:szCs w:val="24"/>
                <w:highlight w:val="none"/>
                <w:lang w:val="en-US" w:eastAsia="zh-CN"/>
              </w:rPr>
              <w:t>需</w:t>
            </w:r>
            <w:r>
              <w:rPr>
                <w:rFonts w:hint="eastAsia" w:ascii="宋体" w:hAnsi="宋体" w:eastAsia="宋体" w:cs="宋体"/>
                <w:color w:val="auto"/>
                <w:sz w:val="24"/>
                <w:szCs w:val="24"/>
                <w:highlight w:val="none"/>
              </w:rPr>
              <w:t>加盖</w:t>
            </w:r>
            <w:r>
              <w:rPr>
                <w:rFonts w:hint="eastAsia" w:hAnsi="宋体" w:cs="宋体"/>
                <w:color w:val="auto"/>
                <w:sz w:val="24"/>
                <w:szCs w:val="24"/>
                <w:highlight w:val="none"/>
                <w:lang w:eastAsia="zh-CN"/>
              </w:rPr>
              <w:t>供应商</w:t>
            </w:r>
            <w:r>
              <w:rPr>
                <w:rFonts w:hint="eastAsia" w:ascii="宋体" w:hAnsi="宋体" w:eastAsia="宋体" w:cs="宋体"/>
                <w:color w:val="auto"/>
                <w:sz w:val="24"/>
                <w:szCs w:val="24"/>
                <w:highlight w:val="none"/>
              </w:rPr>
              <w:t>公章</w:t>
            </w:r>
            <w:r>
              <w:rPr>
                <w:rFonts w:hint="eastAsia" w:ascii="宋体" w:hAnsi="宋体" w:eastAsia="宋体" w:cs="宋体"/>
                <w:color w:val="auto"/>
                <w:sz w:val="24"/>
                <w:szCs w:val="24"/>
                <w:highlight w:val="none"/>
                <w:lang w:eastAsia="zh-CN"/>
              </w:rPr>
              <w:t>。</w:t>
            </w:r>
          </w:p>
        </w:tc>
      </w:tr>
      <w:tr w14:paraId="6C25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53" w:type="pct"/>
            <w:vMerge w:val="restart"/>
            <w:noWrap w:val="0"/>
            <w:vAlign w:val="center"/>
          </w:tcPr>
          <w:p w14:paraId="76BF2F06">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default" w:ascii="宋体" w:hAnsi="宋体" w:eastAsia="宋体" w:cs="宋体"/>
                <w:b/>
                <w:bCs/>
                <w:color w:val="auto"/>
                <w:sz w:val="24"/>
                <w:szCs w:val="24"/>
                <w:highlight w:val="none"/>
                <w:lang w:val="en-US" w:eastAsia="zh-CN"/>
              </w:rPr>
            </w:pPr>
            <w:r>
              <w:rPr>
                <w:rFonts w:hint="eastAsia" w:cs="宋体"/>
                <w:b/>
                <w:bCs/>
                <w:color w:val="auto"/>
                <w:sz w:val="24"/>
                <w:szCs w:val="24"/>
                <w:highlight w:val="none"/>
                <w:lang w:val="en-US" w:eastAsia="zh-CN"/>
              </w:rPr>
              <w:t>④</w:t>
            </w:r>
          </w:p>
        </w:tc>
        <w:tc>
          <w:tcPr>
            <w:tcW w:w="1259" w:type="pct"/>
            <w:gridSpan w:val="2"/>
            <w:vMerge w:val="restart"/>
            <w:noWrap w:val="0"/>
            <w:vAlign w:val="center"/>
          </w:tcPr>
          <w:p w14:paraId="27F4C513">
            <w:pPr>
              <w:pStyle w:val="24"/>
              <w:keepNext w:val="0"/>
              <w:keepLines w:val="0"/>
              <w:pageBreakBefore w:val="0"/>
              <w:kinsoku/>
              <w:wordWrap/>
              <w:overflowPunct/>
              <w:topLinePunct w:val="0"/>
              <w:autoSpaceDE/>
              <w:autoSpaceDN/>
              <w:bidi w:val="0"/>
              <w:spacing w:line="240" w:lineRule="auto"/>
              <w:ind w:left="0" w:leftChars="0"/>
              <w:jc w:val="center"/>
              <w:textAlignment w:val="auto"/>
              <w:rPr>
                <w:rFonts w:hint="eastAsia" w:cs="宋体"/>
                <w:b/>
                <w:bCs/>
                <w:color w:val="auto"/>
                <w:sz w:val="24"/>
                <w:szCs w:val="24"/>
                <w:highlight w:val="none"/>
                <w:lang w:val="en-US" w:eastAsia="zh-CN"/>
              </w:rPr>
            </w:pPr>
            <w:r>
              <w:rPr>
                <w:rFonts w:hint="eastAsia" w:cs="宋体"/>
                <w:b/>
                <w:bCs/>
                <w:color w:val="auto"/>
                <w:sz w:val="24"/>
                <w:szCs w:val="24"/>
                <w:highlight w:val="none"/>
                <w:lang w:val="en-US" w:eastAsia="zh-CN"/>
              </w:rPr>
              <w:t>四、业绩分</w:t>
            </w:r>
          </w:p>
          <w:p w14:paraId="6713FD82">
            <w:pPr>
              <w:pStyle w:val="24"/>
              <w:keepNext w:val="0"/>
              <w:keepLines w:val="0"/>
              <w:pageBreakBefore w:val="0"/>
              <w:kinsoku/>
              <w:wordWrap/>
              <w:overflowPunct/>
              <w:topLinePunct w:val="0"/>
              <w:autoSpaceDE/>
              <w:autoSpaceDN/>
              <w:bidi w:val="0"/>
              <w:spacing w:line="240" w:lineRule="auto"/>
              <w:ind w:left="0" w:leftChars="0"/>
              <w:jc w:val="center"/>
              <w:textAlignment w:val="auto"/>
              <w:rPr>
                <w:rFonts w:hint="default" w:ascii="宋体" w:hAnsi="宋体" w:eastAsia="宋体" w:cs="宋体"/>
                <w:b/>
                <w:bCs/>
                <w:color w:val="auto"/>
                <w:sz w:val="24"/>
                <w:szCs w:val="24"/>
                <w:highlight w:val="none"/>
                <w:lang w:val="en-US" w:eastAsia="zh-CN"/>
              </w:rPr>
            </w:pPr>
            <w:r>
              <w:rPr>
                <w:rFonts w:hint="eastAsia" w:cs="宋体"/>
                <w:b/>
                <w:bCs/>
                <w:color w:val="auto"/>
                <w:sz w:val="24"/>
                <w:szCs w:val="24"/>
                <w:highlight w:val="none"/>
                <w:lang w:val="en-US" w:eastAsia="zh-CN"/>
              </w:rPr>
              <w:t>（满分4分）</w:t>
            </w:r>
          </w:p>
        </w:tc>
        <w:tc>
          <w:tcPr>
            <w:tcW w:w="3187" w:type="pct"/>
            <w:vMerge w:val="restart"/>
            <w:noWrap w:val="0"/>
            <w:vAlign w:val="center"/>
          </w:tcPr>
          <w:p w14:paraId="279F7EE1">
            <w:pPr>
              <w:pStyle w:val="14"/>
              <w:keepNext w:val="0"/>
              <w:keepLines w:val="0"/>
              <w:pageBreakBefore w:val="0"/>
              <w:widowControl w:val="0"/>
              <w:kinsoku/>
              <w:wordWrap/>
              <w:overflowPunct/>
              <w:topLinePunct w:val="0"/>
              <w:autoSpaceDE/>
              <w:autoSpaceDN/>
              <w:bidi w:val="0"/>
              <w:adjustRightInd w:val="0"/>
              <w:snapToGrid w:val="0"/>
              <w:spacing w:line="240" w:lineRule="auto"/>
              <w:ind w:left="0" w:leftChars="0"/>
              <w:textAlignment w:val="auto"/>
              <w:rPr>
                <w:rFonts w:hint="eastAsia" w:ascii="宋体" w:hAnsi="宋体" w:eastAsia="宋体" w:cs="宋体"/>
                <w:color w:val="auto"/>
                <w:sz w:val="24"/>
                <w:szCs w:val="24"/>
                <w:highlight w:val="none"/>
              </w:rPr>
            </w:pPr>
            <w:r>
              <w:rPr>
                <w:rFonts w:hint="eastAsia" w:hAnsi="宋体" w:cs="宋体"/>
                <w:color w:val="auto"/>
                <w:sz w:val="24"/>
                <w:szCs w:val="24"/>
                <w:highlight w:val="none"/>
                <w:lang w:eastAsia="zh-CN"/>
              </w:rPr>
              <w:t>供应商</w:t>
            </w:r>
            <w:r>
              <w:rPr>
                <w:rFonts w:hint="eastAsia" w:ascii="宋体" w:hAnsi="宋体" w:eastAsia="宋体" w:cs="宋体"/>
                <w:color w:val="auto"/>
                <w:sz w:val="24"/>
                <w:szCs w:val="24"/>
                <w:highlight w:val="none"/>
              </w:rPr>
              <w:t>自202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w:t>
            </w:r>
            <w:r>
              <w:rPr>
                <w:rFonts w:hint="eastAsia" w:hAnsi="宋体" w:cs="宋体"/>
                <w:color w:val="auto"/>
                <w:sz w:val="24"/>
                <w:szCs w:val="24"/>
                <w:highlight w:val="none"/>
                <w:lang w:val="en-US" w:eastAsia="zh-CN"/>
              </w:rPr>
              <w:t>之后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每有一个等保测评相关案例得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分，最多得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p w14:paraId="677BEBF5">
            <w:pPr>
              <w:pStyle w:val="19"/>
              <w:keepNext w:val="0"/>
              <w:keepLines w:val="0"/>
              <w:pageBreakBefore w:val="0"/>
              <w:widowControl w:val="0"/>
              <w:kinsoku/>
              <w:wordWrap/>
              <w:overflowPunct/>
              <w:topLinePunct w:val="0"/>
              <w:autoSpaceDE/>
              <w:autoSpaceDN/>
              <w:bidi w:val="0"/>
              <w:snapToGrid w:val="0"/>
              <w:spacing w:after="0" w:line="240" w:lineRule="auto"/>
              <w:ind w:left="0" w:leftChars="0" w:firstLine="0" w:firstLineChars="0"/>
              <w:textAlignment w:val="auto"/>
              <w:rPr>
                <w:rFonts w:hint="eastAsia" w:ascii="宋体" w:hAnsi="宋体" w:eastAsia="宋体" w:cs="宋体"/>
                <w:color w:val="auto"/>
                <w:sz w:val="24"/>
                <w:szCs w:val="24"/>
                <w:highlight w:val="none"/>
                <w:lang w:eastAsia="zh-CN"/>
              </w:rPr>
            </w:pPr>
            <w:r>
              <w:rPr>
                <w:rFonts w:hint="eastAsia" w:hAnsi="宋体" w:cs="宋体"/>
                <w:color w:val="auto"/>
                <w:sz w:val="24"/>
                <w:szCs w:val="24"/>
                <w:highlight w:val="none"/>
                <w:lang w:val="en-US" w:eastAsia="zh-CN"/>
              </w:rPr>
              <w:t>注：分别</w:t>
            </w:r>
            <w:r>
              <w:rPr>
                <w:rFonts w:hint="eastAsia" w:ascii="宋体" w:hAnsi="宋体" w:eastAsia="宋体" w:cs="宋体"/>
                <w:color w:val="auto"/>
                <w:sz w:val="24"/>
                <w:szCs w:val="24"/>
                <w:highlight w:val="none"/>
              </w:rPr>
              <w:t>提供相关合同复印件或授权书</w:t>
            </w:r>
            <w:r>
              <w:rPr>
                <w:rFonts w:hint="eastAsia" w:hAnsi="宋体" w:cs="宋体"/>
                <w:color w:val="auto"/>
                <w:sz w:val="24"/>
                <w:szCs w:val="24"/>
                <w:highlight w:val="none"/>
                <w:lang w:eastAsia="zh-CN"/>
              </w:rPr>
              <w:t>，</w:t>
            </w:r>
            <w:r>
              <w:rPr>
                <w:rFonts w:hint="eastAsia" w:hAnsi="宋体" w:cs="宋体"/>
                <w:color w:val="auto"/>
                <w:sz w:val="24"/>
                <w:szCs w:val="24"/>
                <w:highlight w:val="none"/>
                <w:lang w:val="en-US" w:eastAsia="zh-CN"/>
              </w:rPr>
              <w:t>并</w:t>
            </w:r>
            <w:r>
              <w:rPr>
                <w:rFonts w:hint="eastAsia" w:ascii="宋体" w:hAnsi="宋体" w:eastAsia="宋体" w:cs="宋体"/>
                <w:color w:val="auto"/>
                <w:sz w:val="24"/>
                <w:szCs w:val="24"/>
                <w:highlight w:val="none"/>
              </w:rPr>
              <w:t>加盖</w:t>
            </w:r>
            <w:r>
              <w:rPr>
                <w:rFonts w:hint="eastAsia" w:hAnsi="宋体" w:cs="宋体"/>
                <w:color w:val="auto"/>
                <w:sz w:val="24"/>
                <w:szCs w:val="24"/>
                <w:highlight w:val="none"/>
                <w:lang w:eastAsia="zh-CN"/>
              </w:rPr>
              <w:t>供应商</w:t>
            </w:r>
            <w:r>
              <w:rPr>
                <w:rFonts w:hint="eastAsia" w:ascii="宋体" w:hAnsi="宋体" w:eastAsia="宋体" w:cs="宋体"/>
                <w:color w:val="auto"/>
                <w:sz w:val="24"/>
                <w:szCs w:val="24"/>
                <w:highlight w:val="none"/>
              </w:rPr>
              <w:t>公章</w:t>
            </w:r>
          </w:p>
        </w:tc>
      </w:tr>
      <w:tr w14:paraId="4DD8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53" w:type="pct"/>
            <w:vMerge w:val="continue"/>
            <w:noWrap w:val="0"/>
            <w:vAlign w:val="center"/>
          </w:tcPr>
          <w:p w14:paraId="1FA01524">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sz w:val="24"/>
                <w:szCs w:val="24"/>
                <w:highlight w:val="none"/>
                <w:lang w:val="en-US" w:eastAsia="zh-CN"/>
              </w:rPr>
            </w:pPr>
          </w:p>
        </w:tc>
        <w:tc>
          <w:tcPr>
            <w:tcW w:w="1259" w:type="pct"/>
            <w:gridSpan w:val="2"/>
            <w:vMerge w:val="continue"/>
            <w:noWrap w:val="0"/>
            <w:vAlign w:val="center"/>
          </w:tcPr>
          <w:p w14:paraId="4BC13CFE">
            <w:pPr>
              <w:pStyle w:val="24"/>
              <w:keepNext w:val="0"/>
              <w:keepLines w:val="0"/>
              <w:pageBreakBefore w:val="0"/>
              <w:kinsoku/>
              <w:wordWrap/>
              <w:overflowPunct/>
              <w:topLinePunct w:val="0"/>
              <w:autoSpaceDE/>
              <w:autoSpaceDN/>
              <w:bidi w:val="0"/>
              <w:spacing w:line="240" w:lineRule="auto"/>
              <w:ind w:left="0" w:leftChars="0"/>
              <w:jc w:val="center"/>
              <w:textAlignment w:val="auto"/>
              <w:rPr>
                <w:rFonts w:hint="eastAsia" w:ascii="宋体" w:hAnsi="宋体" w:eastAsia="宋体" w:cs="宋体"/>
                <w:b/>
                <w:bCs/>
                <w:color w:val="auto"/>
                <w:sz w:val="24"/>
                <w:szCs w:val="24"/>
                <w:highlight w:val="none"/>
              </w:rPr>
            </w:pPr>
          </w:p>
        </w:tc>
        <w:tc>
          <w:tcPr>
            <w:tcW w:w="3187" w:type="pct"/>
            <w:vMerge w:val="continue"/>
            <w:noWrap w:val="0"/>
            <w:vAlign w:val="center"/>
          </w:tcPr>
          <w:p w14:paraId="183617AF">
            <w:pPr>
              <w:pStyle w:val="19"/>
              <w:keepNext w:val="0"/>
              <w:keepLines w:val="0"/>
              <w:pageBreakBefore w:val="0"/>
              <w:widowControl w:val="0"/>
              <w:kinsoku/>
              <w:wordWrap/>
              <w:overflowPunct/>
              <w:topLinePunct w:val="0"/>
              <w:autoSpaceDE/>
              <w:autoSpaceDN/>
              <w:bidi w:val="0"/>
              <w:snapToGrid w:val="0"/>
              <w:spacing w:after="0" w:line="240" w:lineRule="auto"/>
              <w:ind w:left="0" w:leftChars="0" w:firstLine="0" w:firstLineChars="0"/>
              <w:textAlignment w:val="auto"/>
              <w:rPr>
                <w:rFonts w:hint="eastAsia" w:ascii="宋体" w:hAnsi="宋体" w:eastAsia="宋体" w:cs="宋体"/>
                <w:color w:val="auto"/>
                <w:sz w:val="24"/>
                <w:szCs w:val="24"/>
                <w:highlight w:val="none"/>
                <w:lang w:val="en-US" w:eastAsia="zh-CN"/>
              </w:rPr>
            </w:pPr>
          </w:p>
        </w:tc>
      </w:tr>
      <w:tr w14:paraId="3661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53" w:type="pct"/>
            <w:vMerge w:val="continue"/>
            <w:noWrap w:val="0"/>
            <w:vAlign w:val="center"/>
          </w:tcPr>
          <w:p w14:paraId="025A6B7A">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sz w:val="24"/>
                <w:szCs w:val="24"/>
                <w:highlight w:val="none"/>
                <w:lang w:val="en-US" w:eastAsia="zh-CN"/>
              </w:rPr>
            </w:pPr>
          </w:p>
        </w:tc>
        <w:tc>
          <w:tcPr>
            <w:tcW w:w="1259" w:type="pct"/>
            <w:gridSpan w:val="2"/>
            <w:vMerge w:val="continue"/>
            <w:noWrap w:val="0"/>
            <w:vAlign w:val="center"/>
          </w:tcPr>
          <w:p w14:paraId="54E65215">
            <w:pPr>
              <w:pStyle w:val="24"/>
              <w:keepNext w:val="0"/>
              <w:keepLines w:val="0"/>
              <w:pageBreakBefore w:val="0"/>
              <w:kinsoku/>
              <w:wordWrap/>
              <w:overflowPunct/>
              <w:topLinePunct w:val="0"/>
              <w:autoSpaceDE/>
              <w:autoSpaceDN/>
              <w:bidi w:val="0"/>
              <w:spacing w:line="240" w:lineRule="auto"/>
              <w:ind w:left="0" w:leftChars="0"/>
              <w:jc w:val="center"/>
              <w:textAlignment w:val="auto"/>
              <w:rPr>
                <w:rFonts w:hint="eastAsia" w:ascii="宋体" w:hAnsi="宋体" w:eastAsia="宋体" w:cs="宋体"/>
                <w:b/>
                <w:bCs/>
                <w:color w:val="auto"/>
                <w:sz w:val="24"/>
                <w:szCs w:val="24"/>
                <w:highlight w:val="none"/>
              </w:rPr>
            </w:pPr>
          </w:p>
        </w:tc>
        <w:tc>
          <w:tcPr>
            <w:tcW w:w="3187" w:type="pct"/>
            <w:vMerge w:val="continue"/>
            <w:noWrap w:val="0"/>
            <w:vAlign w:val="center"/>
          </w:tcPr>
          <w:p w14:paraId="191CB242">
            <w:pPr>
              <w:pStyle w:val="19"/>
              <w:keepNext w:val="0"/>
              <w:keepLines w:val="0"/>
              <w:pageBreakBefore w:val="0"/>
              <w:widowControl w:val="0"/>
              <w:kinsoku/>
              <w:wordWrap/>
              <w:overflowPunct/>
              <w:topLinePunct w:val="0"/>
              <w:autoSpaceDE/>
              <w:autoSpaceDN/>
              <w:bidi w:val="0"/>
              <w:snapToGrid w:val="0"/>
              <w:spacing w:after="0" w:line="240" w:lineRule="auto"/>
              <w:ind w:left="0" w:leftChars="0" w:firstLine="0" w:firstLineChars="0"/>
              <w:textAlignment w:val="auto"/>
              <w:rPr>
                <w:rFonts w:hint="eastAsia" w:ascii="宋体" w:hAnsi="宋体" w:eastAsia="宋体" w:cs="宋体"/>
                <w:color w:val="auto"/>
                <w:sz w:val="24"/>
                <w:szCs w:val="24"/>
                <w:highlight w:val="none"/>
                <w:lang w:val="en-US" w:eastAsia="zh-CN"/>
              </w:rPr>
            </w:pPr>
          </w:p>
        </w:tc>
      </w:tr>
      <w:tr w14:paraId="51CDA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53" w:type="pct"/>
            <w:vMerge w:val="continue"/>
            <w:noWrap w:val="0"/>
            <w:vAlign w:val="center"/>
          </w:tcPr>
          <w:p w14:paraId="5A0DD227">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sz w:val="24"/>
                <w:szCs w:val="24"/>
                <w:highlight w:val="none"/>
                <w:lang w:val="en-US" w:eastAsia="zh-CN"/>
              </w:rPr>
            </w:pPr>
          </w:p>
        </w:tc>
        <w:tc>
          <w:tcPr>
            <w:tcW w:w="1259" w:type="pct"/>
            <w:gridSpan w:val="2"/>
            <w:vMerge w:val="continue"/>
            <w:noWrap w:val="0"/>
            <w:vAlign w:val="center"/>
          </w:tcPr>
          <w:p w14:paraId="721A7CBE">
            <w:pPr>
              <w:pStyle w:val="24"/>
              <w:keepNext w:val="0"/>
              <w:keepLines w:val="0"/>
              <w:pageBreakBefore w:val="0"/>
              <w:kinsoku/>
              <w:wordWrap/>
              <w:overflowPunct/>
              <w:topLinePunct w:val="0"/>
              <w:autoSpaceDE/>
              <w:autoSpaceDN/>
              <w:bidi w:val="0"/>
              <w:spacing w:line="240" w:lineRule="auto"/>
              <w:ind w:left="0" w:leftChars="0"/>
              <w:jc w:val="center"/>
              <w:textAlignment w:val="auto"/>
              <w:rPr>
                <w:rFonts w:hint="eastAsia" w:ascii="宋体" w:hAnsi="宋体" w:eastAsia="宋体" w:cs="宋体"/>
                <w:b/>
                <w:bCs/>
                <w:color w:val="auto"/>
                <w:sz w:val="24"/>
                <w:szCs w:val="24"/>
                <w:highlight w:val="none"/>
              </w:rPr>
            </w:pPr>
          </w:p>
        </w:tc>
        <w:tc>
          <w:tcPr>
            <w:tcW w:w="3187" w:type="pct"/>
            <w:vMerge w:val="continue"/>
            <w:noWrap w:val="0"/>
            <w:vAlign w:val="center"/>
          </w:tcPr>
          <w:p w14:paraId="67A31A8F">
            <w:pPr>
              <w:pStyle w:val="19"/>
              <w:keepNext w:val="0"/>
              <w:keepLines w:val="0"/>
              <w:pageBreakBefore w:val="0"/>
              <w:widowControl w:val="0"/>
              <w:kinsoku/>
              <w:wordWrap/>
              <w:overflowPunct/>
              <w:topLinePunct w:val="0"/>
              <w:autoSpaceDE/>
              <w:autoSpaceDN/>
              <w:bidi w:val="0"/>
              <w:snapToGrid w:val="0"/>
              <w:spacing w:after="0" w:line="240" w:lineRule="auto"/>
              <w:ind w:left="0" w:leftChars="0" w:firstLine="0" w:firstLineChars="0"/>
              <w:textAlignment w:val="auto"/>
              <w:rPr>
                <w:rFonts w:hint="eastAsia" w:ascii="宋体" w:hAnsi="宋体" w:eastAsia="宋体" w:cs="宋体"/>
                <w:color w:val="auto"/>
                <w:sz w:val="24"/>
                <w:szCs w:val="24"/>
                <w:highlight w:val="none"/>
                <w:lang w:val="en-US" w:eastAsia="zh-CN"/>
              </w:rPr>
            </w:pPr>
          </w:p>
        </w:tc>
      </w:tr>
      <w:tr w14:paraId="5895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53" w:type="pct"/>
            <w:vMerge w:val="continue"/>
            <w:noWrap w:val="0"/>
            <w:vAlign w:val="center"/>
          </w:tcPr>
          <w:p w14:paraId="27222AFF">
            <w:pPr>
              <w:keepNext w:val="0"/>
              <w:keepLines w:val="0"/>
              <w:pageBreakBefore w:val="0"/>
              <w:kinsoku/>
              <w:wordWrap/>
              <w:overflowPunct/>
              <w:topLinePunct w:val="0"/>
              <w:autoSpaceDE/>
              <w:autoSpaceDN/>
              <w:bidi w:val="0"/>
              <w:adjustRightInd w:val="0"/>
              <w:snapToGrid w:val="0"/>
              <w:spacing w:line="240" w:lineRule="auto"/>
              <w:ind w:left="0" w:leftChars="0"/>
              <w:jc w:val="center"/>
              <w:textAlignment w:val="auto"/>
              <w:rPr>
                <w:rFonts w:hint="eastAsia" w:ascii="宋体" w:hAnsi="宋体" w:eastAsia="宋体" w:cs="宋体"/>
                <w:color w:val="auto"/>
                <w:sz w:val="24"/>
                <w:szCs w:val="24"/>
                <w:highlight w:val="none"/>
                <w:lang w:val="en-US" w:eastAsia="zh-CN"/>
              </w:rPr>
            </w:pPr>
          </w:p>
        </w:tc>
        <w:tc>
          <w:tcPr>
            <w:tcW w:w="1259" w:type="pct"/>
            <w:gridSpan w:val="2"/>
            <w:vMerge w:val="continue"/>
            <w:noWrap w:val="0"/>
            <w:vAlign w:val="center"/>
          </w:tcPr>
          <w:p w14:paraId="41E91EE3">
            <w:pPr>
              <w:pStyle w:val="24"/>
              <w:keepNext w:val="0"/>
              <w:keepLines w:val="0"/>
              <w:pageBreakBefore w:val="0"/>
              <w:kinsoku/>
              <w:wordWrap/>
              <w:overflowPunct/>
              <w:topLinePunct w:val="0"/>
              <w:autoSpaceDE/>
              <w:autoSpaceDN/>
              <w:bidi w:val="0"/>
              <w:spacing w:line="240" w:lineRule="auto"/>
              <w:ind w:left="0" w:leftChars="0"/>
              <w:jc w:val="center"/>
              <w:textAlignment w:val="auto"/>
              <w:rPr>
                <w:rFonts w:hint="eastAsia" w:ascii="宋体" w:hAnsi="宋体" w:eastAsia="宋体" w:cs="宋体"/>
                <w:b/>
                <w:bCs/>
                <w:color w:val="auto"/>
                <w:sz w:val="24"/>
                <w:szCs w:val="24"/>
                <w:highlight w:val="none"/>
              </w:rPr>
            </w:pPr>
          </w:p>
        </w:tc>
        <w:tc>
          <w:tcPr>
            <w:tcW w:w="3187" w:type="pct"/>
            <w:vMerge w:val="continue"/>
            <w:noWrap w:val="0"/>
            <w:vAlign w:val="center"/>
          </w:tcPr>
          <w:p w14:paraId="6176397F">
            <w:pPr>
              <w:pStyle w:val="19"/>
              <w:keepNext w:val="0"/>
              <w:keepLines w:val="0"/>
              <w:pageBreakBefore w:val="0"/>
              <w:widowControl w:val="0"/>
              <w:kinsoku/>
              <w:wordWrap/>
              <w:overflowPunct/>
              <w:topLinePunct w:val="0"/>
              <w:autoSpaceDE/>
              <w:autoSpaceDN/>
              <w:bidi w:val="0"/>
              <w:snapToGrid w:val="0"/>
              <w:spacing w:after="0" w:line="240" w:lineRule="auto"/>
              <w:ind w:left="0" w:leftChars="0" w:firstLine="0" w:firstLineChars="0"/>
              <w:textAlignment w:val="auto"/>
              <w:rPr>
                <w:rFonts w:hint="eastAsia" w:ascii="宋体" w:hAnsi="宋体" w:eastAsia="宋体" w:cs="宋体"/>
                <w:color w:val="auto"/>
                <w:sz w:val="24"/>
                <w:szCs w:val="24"/>
                <w:highlight w:val="none"/>
                <w:lang w:val="en-US" w:eastAsia="zh-CN"/>
              </w:rPr>
            </w:pPr>
          </w:p>
        </w:tc>
      </w:tr>
      <w:tr w14:paraId="3C1A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53" w:type="pct"/>
            <w:vMerge w:val="continue"/>
            <w:noWrap w:val="0"/>
            <w:vAlign w:val="center"/>
          </w:tcPr>
          <w:p w14:paraId="2880AE96">
            <w:pPr>
              <w:keepNext w:val="0"/>
              <w:keepLines w:val="0"/>
              <w:pageBreakBefore w:val="0"/>
              <w:kinsoku/>
              <w:wordWrap/>
              <w:overflowPunct/>
              <w:topLinePunct w:val="0"/>
              <w:autoSpaceDE/>
              <w:autoSpaceDN/>
              <w:bidi w:val="0"/>
              <w:spacing w:line="240" w:lineRule="auto"/>
              <w:ind w:left="0" w:leftChars="0"/>
              <w:jc w:val="center"/>
              <w:textAlignment w:val="auto"/>
              <w:rPr>
                <w:rFonts w:hint="eastAsia" w:ascii="宋体" w:hAnsi="宋体" w:eastAsia="宋体" w:cs="宋体"/>
                <w:color w:val="auto"/>
                <w:sz w:val="24"/>
                <w:szCs w:val="24"/>
                <w:highlight w:val="none"/>
              </w:rPr>
            </w:pPr>
          </w:p>
        </w:tc>
        <w:tc>
          <w:tcPr>
            <w:tcW w:w="1259" w:type="pct"/>
            <w:gridSpan w:val="2"/>
            <w:vMerge w:val="continue"/>
            <w:noWrap w:val="0"/>
            <w:vAlign w:val="top"/>
          </w:tcPr>
          <w:p w14:paraId="39DE40A7">
            <w:pPr>
              <w:pStyle w:val="24"/>
              <w:keepNext w:val="0"/>
              <w:keepLines w:val="0"/>
              <w:pageBreakBefore w:val="0"/>
              <w:kinsoku/>
              <w:wordWrap/>
              <w:overflowPunct/>
              <w:topLinePunct w:val="0"/>
              <w:autoSpaceDE/>
              <w:autoSpaceDN/>
              <w:bidi w:val="0"/>
              <w:spacing w:line="240" w:lineRule="auto"/>
              <w:ind w:left="0" w:leftChars="0"/>
              <w:jc w:val="center"/>
              <w:textAlignment w:val="auto"/>
              <w:rPr>
                <w:rFonts w:hint="eastAsia" w:ascii="宋体" w:hAnsi="宋体" w:eastAsia="宋体" w:cs="宋体"/>
                <w:color w:val="auto"/>
                <w:sz w:val="24"/>
                <w:szCs w:val="24"/>
                <w:highlight w:val="none"/>
                <w:lang w:val="en-US"/>
              </w:rPr>
            </w:pPr>
          </w:p>
        </w:tc>
        <w:tc>
          <w:tcPr>
            <w:tcW w:w="3187" w:type="pct"/>
            <w:vMerge w:val="continue"/>
            <w:noWrap w:val="0"/>
            <w:vAlign w:val="top"/>
          </w:tcPr>
          <w:p w14:paraId="13432F84">
            <w:pPr>
              <w:pStyle w:val="24"/>
              <w:keepNext w:val="0"/>
              <w:keepLines w:val="0"/>
              <w:pageBreakBefore w:val="0"/>
              <w:kinsoku/>
              <w:wordWrap/>
              <w:overflowPunct/>
              <w:topLinePunct w:val="0"/>
              <w:autoSpaceDE/>
              <w:autoSpaceDN/>
              <w:bidi w:val="0"/>
              <w:spacing w:line="240" w:lineRule="auto"/>
              <w:ind w:left="0" w:leftChars="0" w:firstLine="480" w:firstLineChars="200"/>
              <w:jc w:val="left"/>
              <w:textAlignment w:val="auto"/>
              <w:rPr>
                <w:rFonts w:hint="eastAsia" w:ascii="宋体" w:hAnsi="宋体" w:eastAsia="宋体" w:cs="宋体"/>
                <w:color w:val="auto"/>
                <w:sz w:val="24"/>
                <w:szCs w:val="24"/>
                <w:highlight w:val="none"/>
              </w:rPr>
            </w:pPr>
          </w:p>
        </w:tc>
      </w:tr>
      <w:tr w14:paraId="4461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4"/>
            <w:noWrap w:val="0"/>
            <w:vAlign w:val="center"/>
          </w:tcPr>
          <w:p w14:paraId="38C00DCE">
            <w:pPr>
              <w:pStyle w:val="24"/>
              <w:keepNext w:val="0"/>
              <w:keepLines w:val="0"/>
              <w:pageBreakBefore w:val="0"/>
              <w:kinsoku/>
              <w:wordWrap/>
              <w:overflowPunct/>
              <w:topLinePunct w:val="0"/>
              <w:autoSpaceDE/>
              <w:autoSpaceDN/>
              <w:bidi w:val="0"/>
              <w:spacing w:line="240" w:lineRule="auto"/>
              <w:ind w:left="0" w:left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总得分</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lang w:val="en-US"/>
              </w:rPr>
              <w:t>=</w:t>
            </w:r>
            <w:r>
              <w:rPr>
                <w:rFonts w:hint="eastAsia" w:ascii="宋体" w:hAnsi="宋体" w:eastAsia="宋体" w:cs="宋体"/>
                <w:b/>
                <w:bCs/>
                <w:color w:val="auto"/>
                <w:sz w:val="24"/>
                <w:szCs w:val="24"/>
                <w:highlight w:val="none"/>
                <w:lang w:val="en-US" w:eastAsia="zh-CN"/>
              </w:rPr>
              <w:t xml:space="preserve"> ① </w:t>
            </w:r>
            <w:r>
              <w:rPr>
                <w:rFonts w:hint="eastAsia" w:ascii="宋体" w:hAnsi="宋体" w:eastAsia="宋体" w:cs="宋体"/>
                <w:b/>
                <w:bCs/>
                <w:color w:val="auto"/>
                <w:sz w:val="24"/>
                <w:szCs w:val="24"/>
                <w:highlight w:val="none"/>
                <w:lang w:val="en-US"/>
              </w:rPr>
              <w:t>+</w:t>
            </w:r>
            <w:r>
              <w:rPr>
                <w:rFonts w:hint="eastAsia" w:ascii="宋体" w:hAnsi="宋体" w:eastAsia="宋体" w:cs="宋体"/>
                <w:b/>
                <w:bCs/>
                <w:color w:val="auto"/>
                <w:sz w:val="24"/>
                <w:szCs w:val="24"/>
                <w:highlight w:val="none"/>
                <w:lang w:val="en-US" w:eastAsia="zh-CN"/>
              </w:rPr>
              <w:t xml:space="preserve"> ② </w:t>
            </w:r>
            <w:r>
              <w:rPr>
                <w:rFonts w:hint="eastAsia" w:ascii="宋体" w:hAnsi="宋体" w:eastAsia="宋体" w:cs="宋体"/>
                <w:b/>
                <w:bCs/>
                <w:color w:val="auto"/>
                <w:sz w:val="24"/>
                <w:szCs w:val="24"/>
                <w:highlight w:val="none"/>
                <w:lang w:val="en-US"/>
              </w:rPr>
              <w:t>+</w:t>
            </w:r>
            <w:r>
              <w:rPr>
                <w:rFonts w:hint="eastAsia" w:ascii="宋体" w:hAnsi="宋体" w:eastAsia="宋体" w:cs="宋体"/>
                <w:b/>
                <w:bCs/>
                <w:color w:val="auto"/>
                <w:sz w:val="24"/>
                <w:szCs w:val="24"/>
                <w:highlight w:val="none"/>
                <w:lang w:val="en-US" w:eastAsia="zh-CN"/>
              </w:rPr>
              <w:t xml:space="preserve"> ③</w:t>
            </w:r>
            <w:r>
              <w:rPr>
                <w:rFonts w:hint="eastAsia" w:cs="宋体"/>
                <w:b/>
                <w:bCs/>
                <w:color w:val="auto"/>
                <w:sz w:val="24"/>
                <w:szCs w:val="24"/>
                <w:highlight w:val="none"/>
                <w:lang w:val="en-US" w:eastAsia="zh-CN"/>
              </w:rPr>
              <w:t xml:space="preserve"> + ④</w:t>
            </w:r>
          </w:p>
        </w:tc>
      </w:tr>
    </w:tbl>
    <w:p w14:paraId="11C0E308">
      <w:pPr>
        <w:numPr>
          <w:ilvl w:val="0"/>
          <w:numId w:val="0"/>
        </w:numPr>
        <w:adjustRightInd w:val="0"/>
        <w:snapToGrid w:val="0"/>
        <w:spacing w:line="520" w:lineRule="exact"/>
        <w:rPr>
          <w:rFonts w:hint="default" w:ascii="宋体" w:hAnsi="宋体" w:eastAsia="宋体" w:cs="宋体"/>
          <w:b/>
          <w:bCs/>
          <w:color w:val="000000"/>
          <w:kern w:val="2"/>
          <w:sz w:val="24"/>
          <w:szCs w:val="24"/>
          <w:lang w:val="en-US" w:eastAsia="zh-CN" w:bidi="ar-SA"/>
        </w:rPr>
      </w:pPr>
    </w:p>
    <w:sectPr>
      <w:footerReference r:id="rId5" w:type="default"/>
      <w:pgSz w:w="11906" w:h="16838"/>
      <w:pgMar w:top="1440" w:right="1134" w:bottom="1440" w:left="113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1" w:fontKey="{5E95E316-1BCE-4816-B32C-22B823995278}"/>
  </w:font>
  <w:font w:name="仿宋_GB2312">
    <w:panose1 w:val="02010609030101010101"/>
    <w:charset w:val="86"/>
    <w:family w:val="modern"/>
    <w:pitch w:val="default"/>
    <w:sig w:usb0="00000001" w:usb1="080E0000" w:usb2="00000000" w:usb3="00000000" w:csb0="00040000" w:csb1="00000000"/>
    <w:embedRegular r:id="rId2" w:fontKey="{02961D49-889B-4E3E-80A7-3FC343E08C77}"/>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D907B">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A8A861">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0A8A861">
                    <w:pPr>
                      <w:pStyle w:val="1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B15CD9"/>
    <w:multiLevelType w:val="multilevel"/>
    <w:tmpl w:val="5AB15CD9"/>
    <w:lvl w:ilvl="0" w:tentative="0">
      <w:start w:val="1"/>
      <w:numFmt w:val="chineseCounting"/>
      <w:pStyle w:val="2"/>
      <w:suff w:val="space"/>
      <w:lvlText w:val="%1、"/>
      <w:lvlJc w:val="left"/>
      <w:pPr>
        <w:tabs>
          <w:tab w:val="left" w:pos="0"/>
        </w:tabs>
        <w:ind w:left="0" w:firstLine="0"/>
      </w:pPr>
      <w:rPr>
        <w:rFonts w:hint="eastAsia" w:ascii="宋体" w:hAnsi="宋体" w:eastAsia="宋体" w:cs="宋体"/>
      </w:rPr>
    </w:lvl>
    <w:lvl w:ilvl="1" w:tentative="0">
      <w:start w:val="1"/>
      <w:numFmt w:val="chineseCounting"/>
      <w:pStyle w:val="3"/>
      <w:suff w:val="space"/>
      <w:lvlText w:val="（%2）"/>
      <w:lvlJc w:val="left"/>
      <w:pPr>
        <w:tabs>
          <w:tab w:val="left" w:pos="420"/>
        </w:tabs>
        <w:ind w:left="0" w:firstLine="0"/>
      </w:pPr>
      <w:rPr>
        <w:rFonts w:hint="eastAsia" w:ascii="宋体" w:hAnsi="宋体" w:eastAsia="宋体" w:cs="宋体"/>
      </w:rPr>
    </w:lvl>
    <w:lvl w:ilvl="2" w:tentative="0">
      <w:start w:val="1"/>
      <w:numFmt w:val="decimal"/>
      <w:pStyle w:val="4"/>
      <w:suff w:val="space"/>
      <w:lvlText w:val="%3."/>
      <w:lvlJc w:val="left"/>
      <w:pPr>
        <w:tabs>
          <w:tab w:val="left" w:pos="420"/>
        </w:tabs>
        <w:ind w:left="0" w:firstLine="400"/>
      </w:pPr>
      <w:rPr>
        <w:rFonts w:hint="eastAsia" w:ascii="宋体" w:hAnsi="宋体" w:eastAsia="宋体" w:cs="宋体"/>
      </w:rPr>
    </w:lvl>
    <w:lvl w:ilvl="3" w:tentative="0">
      <w:start w:val="1"/>
      <w:numFmt w:val="decimal"/>
      <w:pStyle w:val="5"/>
      <w:suff w:val="space"/>
      <w:lvlText w:val="%3.%4"/>
      <w:lvlJc w:val="left"/>
      <w:pPr>
        <w:tabs>
          <w:tab w:val="left" w:pos="420"/>
        </w:tabs>
        <w:ind w:left="0" w:firstLine="402"/>
      </w:pPr>
      <w:rPr>
        <w:rFonts w:hint="eastAsia" w:ascii="宋体" w:hAnsi="宋体" w:eastAsia="宋体" w:cs="宋体"/>
      </w:rPr>
    </w:lvl>
    <w:lvl w:ilvl="4" w:tentative="0">
      <w:start w:val="1"/>
      <w:numFmt w:val="decimal"/>
      <w:pStyle w:val="6"/>
      <w:suff w:val="space"/>
      <w:lvlText w:val="%3.%4.%5"/>
      <w:lvlJc w:val="left"/>
      <w:pPr>
        <w:tabs>
          <w:tab w:val="left" w:pos="420"/>
        </w:tabs>
        <w:ind w:left="0" w:firstLine="402"/>
      </w:pPr>
      <w:rPr>
        <w:rFonts w:hint="eastAsia" w:ascii="宋体" w:hAnsi="宋体" w:eastAsia="宋体" w:cs="宋体"/>
      </w:rPr>
    </w:lvl>
    <w:lvl w:ilvl="5" w:tentative="0">
      <w:start w:val="1"/>
      <w:numFmt w:val="decimal"/>
      <w:pStyle w:val="7"/>
      <w:suff w:val="nothing"/>
      <w:lvlText w:val="%3.%4.%5.%6"/>
      <w:lvlJc w:val="left"/>
      <w:pPr>
        <w:tabs>
          <w:tab w:val="left" w:pos="420"/>
        </w:tabs>
        <w:ind w:left="0" w:firstLine="402"/>
      </w:pPr>
      <w:rPr>
        <w:rFonts w:hint="eastAsia" w:ascii="宋体" w:hAnsi="宋体" w:eastAsia="宋体" w:cs="宋体"/>
      </w:rPr>
    </w:lvl>
    <w:lvl w:ilvl="6" w:tentative="0">
      <w:start w:val="1"/>
      <w:numFmt w:val="decimal"/>
      <w:pStyle w:val="8"/>
      <w:suff w:val="space"/>
      <w:lvlText w:val="%3.%4.%5.%6.%7"/>
      <w:lvlJc w:val="left"/>
      <w:pPr>
        <w:tabs>
          <w:tab w:val="left" w:pos="420"/>
        </w:tabs>
        <w:ind w:left="0" w:firstLine="402"/>
      </w:pPr>
      <w:rPr>
        <w:rFonts w:hint="eastAsia" w:ascii="宋体" w:hAnsi="宋体" w:eastAsia="宋体" w:cs="宋体"/>
      </w:rPr>
    </w:lvl>
    <w:lvl w:ilvl="7" w:tentative="0">
      <w:start w:val="1"/>
      <w:numFmt w:val="decimal"/>
      <w:pStyle w:val="9"/>
      <w:suff w:val="space"/>
      <w:lvlText w:val="%3.%4.%5.%6.%7.%8"/>
      <w:lvlJc w:val="left"/>
      <w:pPr>
        <w:tabs>
          <w:tab w:val="left" w:pos="420"/>
        </w:tabs>
        <w:ind w:left="0" w:firstLine="402"/>
      </w:pPr>
      <w:rPr>
        <w:rFonts w:hint="eastAsia" w:ascii="宋体" w:hAnsi="宋体" w:eastAsia="宋体" w:cs="宋体"/>
      </w:rPr>
    </w:lvl>
    <w:lvl w:ilvl="8" w:tentative="0">
      <w:start w:val="1"/>
      <w:numFmt w:val="decimal"/>
      <w:pStyle w:val="10"/>
      <w:suff w:val="nothing"/>
      <w:lvlText w:val="%3.%4.%5.%6.%7.%8.%9 "/>
      <w:lvlJc w:val="left"/>
      <w:pPr>
        <w:tabs>
          <w:tab w:val="left" w:pos="420"/>
        </w:tabs>
        <w:ind w:left="0" w:firstLine="402"/>
      </w:pPr>
      <w:rPr>
        <w:rFonts w:hint="eastAsia"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5YzZhMjc5MTcxM2UxNzQ1YTc3YTllMjAwMmYxZDYifQ=="/>
  </w:docVars>
  <w:rsids>
    <w:rsidRoot w:val="303E389D"/>
    <w:rsid w:val="00953D9C"/>
    <w:rsid w:val="00E6284A"/>
    <w:rsid w:val="00EE7131"/>
    <w:rsid w:val="00FC3E1B"/>
    <w:rsid w:val="01154991"/>
    <w:rsid w:val="01B14C06"/>
    <w:rsid w:val="02272127"/>
    <w:rsid w:val="02A604E3"/>
    <w:rsid w:val="02D74B40"/>
    <w:rsid w:val="02E37041"/>
    <w:rsid w:val="02F0388B"/>
    <w:rsid w:val="02F456F2"/>
    <w:rsid w:val="03483013"/>
    <w:rsid w:val="03577A2F"/>
    <w:rsid w:val="037B00CE"/>
    <w:rsid w:val="04511EA2"/>
    <w:rsid w:val="04B35139"/>
    <w:rsid w:val="04D81EB6"/>
    <w:rsid w:val="04E62E18"/>
    <w:rsid w:val="05017C52"/>
    <w:rsid w:val="0532663A"/>
    <w:rsid w:val="055255FE"/>
    <w:rsid w:val="056F595C"/>
    <w:rsid w:val="05790131"/>
    <w:rsid w:val="05947E3D"/>
    <w:rsid w:val="05FA52A8"/>
    <w:rsid w:val="063323B9"/>
    <w:rsid w:val="06846D8D"/>
    <w:rsid w:val="06977282"/>
    <w:rsid w:val="06CF23D2"/>
    <w:rsid w:val="06D373CC"/>
    <w:rsid w:val="06FD7C7E"/>
    <w:rsid w:val="07462294"/>
    <w:rsid w:val="07CF6039"/>
    <w:rsid w:val="07D23B28"/>
    <w:rsid w:val="07D433FC"/>
    <w:rsid w:val="08053EFD"/>
    <w:rsid w:val="080E1351"/>
    <w:rsid w:val="088421CE"/>
    <w:rsid w:val="08D86F1C"/>
    <w:rsid w:val="093323A4"/>
    <w:rsid w:val="0A234826"/>
    <w:rsid w:val="0A764C3F"/>
    <w:rsid w:val="0AB1211B"/>
    <w:rsid w:val="0B2E628D"/>
    <w:rsid w:val="0B377064"/>
    <w:rsid w:val="0B3D0AD6"/>
    <w:rsid w:val="0B6C09D2"/>
    <w:rsid w:val="0B9E7F00"/>
    <w:rsid w:val="0C063DA0"/>
    <w:rsid w:val="0C8C24F7"/>
    <w:rsid w:val="0CB16169"/>
    <w:rsid w:val="0CB63A18"/>
    <w:rsid w:val="0CF46B40"/>
    <w:rsid w:val="0D2A44BB"/>
    <w:rsid w:val="0DBE0DD6"/>
    <w:rsid w:val="0DD15BD4"/>
    <w:rsid w:val="0E653000"/>
    <w:rsid w:val="0E664FCA"/>
    <w:rsid w:val="0E8F62CF"/>
    <w:rsid w:val="0EAE1581"/>
    <w:rsid w:val="0EB36A71"/>
    <w:rsid w:val="0EF51D0B"/>
    <w:rsid w:val="0F3E448E"/>
    <w:rsid w:val="0FAC2EB1"/>
    <w:rsid w:val="0FFC54DA"/>
    <w:rsid w:val="100839EE"/>
    <w:rsid w:val="104A7BA7"/>
    <w:rsid w:val="107E6C22"/>
    <w:rsid w:val="108925C7"/>
    <w:rsid w:val="108C6F6A"/>
    <w:rsid w:val="109C2F25"/>
    <w:rsid w:val="117D2D56"/>
    <w:rsid w:val="11B61DC5"/>
    <w:rsid w:val="11D93FB8"/>
    <w:rsid w:val="11E06E41"/>
    <w:rsid w:val="11EA2A1E"/>
    <w:rsid w:val="1218482D"/>
    <w:rsid w:val="12436606"/>
    <w:rsid w:val="12477A0F"/>
    <w:rsid w:val="126F6B43"/>
    <w:rsid w:val="12AC3A2A"/>
    <w:rsid w:val="12DE0B18"/>
    <w:rsid w:val="12F63E88"/>
    <w:rsid w:val="12FD414F"/>
    <w:rsid w:val="13076D7C"/>
    <w:rsid w:val="1324792E"/>
    <w:rsid w:val="1361371C"/>
    <w:rsid w:val="13826402"/>
    <w:rsid w:val="13A445CA"/>
    <w:rsid w:val="13C11A75"/>
    <w:rsid w:val="13E64BE3"/>
    <w:rsid w:val="13F51F4A"/>
    <w:rsid w:val="141B23B3"/>
    <w:rsid w:val="141C0605"/>
    <w:rsid w:val="144162BD"/>
    <w:rsid w:val="145C6C53"/>
    <w:rsid w:val="14776E55"/>
    <w:rsid w:val="14921030"/>
    <w:rsid w:val="14B76C4D"/>
    <w:rsid w:val="14C633DB"/>
    <w:rsid w:val="14D42C8D"/>
    <w:rsid w:val="14DA401C"/>
    <w:rsid w:val="154636A5"/>
    <w:rsid w:val="15F31839"/>
    <w:rsid w:val="15F52754"/>
    <w:rsid w:val="16433BE3"/>
    <w:rsid w:val="164A1E2B"/>
    <w:rsid w:val="16854BD0"/>
    <w:rsid w:val="16AB5C35"/>
    <w:rsid w:val="16CD3E38"/>
    <w:rsid w:val="171A0149"/>
    <w:rsid w:val="174A0FFF"/>
    <w:rsid w:val="174E04B0"/>
    <w:rsid w:val="17C96841"/>
    <w:rsid w:val="180E25E5"/>
    <w:rsid w:val="18221F62"/>
    <w:rsid w:val="18351C95"/>
    <w:rsid w:val="185D6550"/>
    <w:rsid w:val="189310B2"/>
    <w:rsid w:val="18DA45EA"/>
    <w:rsid w:val="190B3121"/>
    <w:rsid w:val="191B50F0"/>
    <w:rsid w:val="19264390"/>
    <w:rsid w:val="19265A82"/>
    <w:rsid w:val="1A0F6516"/>
    <w:rsid w:val="1A630051"/>
    <w:rsid w:val="1A7B3BAB"/>
    <w:rsid w:val="1A840CB2"/>
    <w:rsid w:val="1ABC044C"/>
    <w:rsid w:val="1ABE5CF0"/>
    <w:rsid w:val="1B191BF5"/>
    <w:rsid w:val="1B7943DB"/>
    <w:rsid w:val="1BD45C69"/>
    <w:rsid w:val="1BD94F72"/>
    <w:rsid w:val="1BE834C2"/>
    <w:rsid w:val="1BFC2ACA"/>
    <w:rsid w:val="1C33298F"/>
    <w:rsid w:val="1C5B1EE6"/>
    <w:rsid w:val="1C822555"/>
    <w:rsid w:val="1CCB2BC8"/>
    <w:rsid w:val="1CF71B53"/>
    <w:rsid w:val="1CFD2F9D"/>
    <w:rsid w:val="1D036806"/>
    <w:rsid w:val="1D0D31E0"/>
    <w:rsid w:val="1D2D73DF"/>
    <w:rsid w:val="1DA26CB1"/>
    <w:rsid w:val="1DD66F86"/>
    <w:rsid w:val="1DED1FB5"/>
    <w:rsid w:val="1F05061F"/>
    <w:rsid w:val="1F512138"/>
    <w:rsid w:val="1F83778A"/>
    <w:rsid w:val="1FDB5818"/>
    <w:rsid w:val="20261982"/>
    <w:rsid w:val="20511636"/>
    <w:rsid w:val="20531852"/>
    <w:rsid w:val="20BE1C09"/>
    <w:rsid w:val="20E95D13"/>
    <w:rsid w:val="20F546B7"/>
    <w:rsid w:val="21336F8E"/>
    <w:rsid w:val="219536BB"/>
    <w:rsid w:val="21A734D8"/>
    <w:rsid w:val="21DF67D0"/>
    <w:rsid w:val="21E36CCE"/>
    <w:rsid w:val="21EA1D42"/>
    <w:rsid w:val="222114DC"/>
    <w:rsid w:val="225638EA"/>
    <w:rsid w:val="22A00653"/>
    <w:rsid w:val="22B36C43"/>
    <w:rsid w:val="22E91153"/>
    <w:rsid w:val="23243032"/>
    <w:rsid w:val="232748D0"/>
    <w:rsid w:val="235B27CC"/>
    <w:rsid w:val="2398757C"/>
    <w:rsid w:val="23E80503"/>
    <w:rsid w:val="23FE3BA0"/>
    <w:rsid w:val="241C01AD"/>
    <w:rsid w:val="246102B6"/>
    <w:rsid w:val="24B97156"/>
    <w:rsid w:val="25D845A8"/>
    <w:rsid w:val="2601765A"/>
    <w:rsid w:val="261E020C"/>
    <w:rsid w:val="26437C73"/>
    <w:rsid w:val="2655136C"/>
    <w:rsid w:val="26695200"/>
    <w:rsid w:val="26E00DFE"/>
    <w:rsid w:val="27921A9B"/>
    <w:rsid w:val="27A434A3"/>
    <w:rsid w:val="27CB7F20"/>
    <w:rsid w:val="285C5FDB"/>
    <w:rsid w:val="28612632"/>
    <w:rsid w:val="28681C7B"/>
    <w:rsid w:val="287A6993"/>
    <w:rsid w:val="28C51E4D"/>
    <w:rsid w:val="28EB63A0"/>
    <w:rsid w:val="29BD58FE"/>
    <w:rsid w:val="29C86C78"/>
    <w:rsid w:val="29CE5DA6"/>
    <w:rsid w:val="29EF6069"/>
    <w:rsid w:val="2A0873C7"/>
    <w:rsid w:val="2A135BAE"/>
    <w:rsid w:val="2A2818F8"/>
    <w:rsid w:val="2A29070A"/>
    <w:rsid w:val="2B204A27"/>
    <w:rsid w:val="2B5953A8"/>
    <w:rsid w:val="2B642878"/>
    <w:rsid w:val="2B78689F"/>
    <w:rsid w:val="2BEE68D3"/>
    <w:rsid w:val="2BF23854"/>
    <w:rsid w:val="2BFA7026"/>
    <w:rsid w:val="2CCB09C2"/>
    <w:rsid w:val="2CFF066C"/>
    <w:rsid w:val="2D450775"/>
    <w:rsid w:val="2DE76138"/>
    <w:rsid w:val="2E00469C"/>
    <w:rsid w:val="2E276D6E"/>
    <w:rsid w:val="2E50117F"/>
    <w:rsid w:val="2E642E7C"/>
    <w:rsid w:val="2E6B78FB"/>
    <w:rsid w:val="2E856C33"/>
    <w:rsid w:val="2EA0697F"/>
    <w:rsid w:val="2EBF563F"/>
    <w:rsid w:val="2EF44200"/>
    <w:rsid w:val="2FC67B96"/>
    <w:rsid w:val="2FFB6945"/>
    <w:rsid w:val="303E389D"/>
    <w:rsid w:val="305D7B83"/>
    <w:rsid w:val="3082583C"/>
    <w:rsid w:val="309373AE"/>
    <w:rsid w:val="30E3452C"/>
    <w:rsid w:val="30FF0C3A"/>
    <w:rsid w:val="314439FE"/>
    <w:rsid w:val="316E4D0F"/>
    <w:rsid w:val="31AB523F"/>
    <w:rsid w:val="31D60AC4"/>
    <w:rsid w:val="320A5AE9"/>
    <w:rsid w:val="322D3335"/>
    <w:rsid w:val="32335040"/>
    <w:rsid w:val="32382656"/>
    <w:rsid w:val="32591540"/>
    <w:rsid w:val="326964C0"/>
    <w:rsid w:val="3284589B"/>
    <w:rsid w:val="32ED6420"/>
    <w:rsid w:val="330469DC"/>
    <w:rsid w:val="333A41AC"/>
    <w:rsid w:val="3369683F"/>
    <w:rsid w:val="33881627"/>
    <w:rsid w:val="33D068BE"/>
    <w:rsid w:val="340C1A12"/>
    <w:rsid w:val="34374321"/>
    <w:rsid w:val="34BA5230"/>
    <w:rsid w:val="34F34F5A"/>
    <w:rsid w:val="351B6F23"/>
    <w:rsid w:val="353A66E5"/>
    <w:rsid w:val="357C4F4F"/>
    <w:rsid w:val="35E27BCE"/>
    <w:rsid w:val="35F33A75"/>
    <w:rsid w:val="3672087B"/>
    <w:rsid w:val="36873BAC"/>
    <w:rsid w:val="36AB4BC9"/>
    <w:rsid w:val="36B46BF2"/>
    <w:rsid w:val="36CD5604"/>
    <w:rsid w:val="378011CC"/>
    <w:rsid w:val="379876F3"/>
    <w:rsid w:val="381B2930"/>
    <w:rsid w:val="38467264"/>
    <w:rsid w:val="386803FE"/>
    <w:rsid w:val="386A72E1"/>
    <w:rsid w:val="38DB01DF"/>
    <w:rsid w:val="390E4110"/>
    <w:rsid w:val="390E5EBF"/>
    <w:rsid w:val="39180BBD"/>
    <w:rsid w:val="39194863"/>
    <w:rsid w:val="391A6BCE"/>
    <w:rsid w:val="39283866"/>
    <w:rsid w:val="39730417"/>
    <w:rsid w:val="39D54C2E"/>
    <w:rsid w:val="3A6C65A9"/>
    <w:rsid w:val="3A7F1878"/>
    <w:rsid w:val="3AA52853"/>
    <w:rsid w:val="3AEE6DE3"/>
    <w:rsid w:val="3B5322AF"/>
    <w:rsid w:val="3C367B55"/>
    <w:rsid w:val="3C7F0E81"/>
    <w:rsid w:val="3D8726E3"/>
    <w:rsid w:val="3DA8061B"/>
    <w:rsid w:val="3DEA1C33"/>
    <w:rsid w:val="3E1A0F5D"/>
    <w:rsid w:val="3E3F21FC"/>
    <w:rsid w:val="3E552A89"/>
    <w:rsid w:val="3E6F0298"/>
    <w:rsid w:val="3E7861EB"/>
    <w:rsid w:val="3EF806BF"/>
    <w:rsid w:val="3F01438D"/>
    <w:rsid w:val="3F233622"/>
    <w:rsid w:val="3FA4757D"/>
    <w:rsid w:val="3FDB7D79"/>
    <w:rsid w:val="4057639D"/>
    <w:rsid w:val="40FE00DF"/>
    <w:rsid w:val="41115C53"/>
    <w:rsid w:val="4114603C"/>
    <w:rsid w:val="41392C41"/>
    <w:rsid w:val="414F3518"/>
    <w:rsid w:val="41540B2E"/>
    <w:rsid w:val="416A2100"/>
    <w:rsid w:val="419F24B7"/>
    <w:rsid w:val="41E47695"/>
    <w:rsid w:val="41F8595E"/>
    <w:rsid w:val="42415557"/>
    <w:rsid w:val="42985594"/>
    <w:rsid w:val="42B9333F"/>
    <w:rsid w:val="42D734A5"/>
    <w:rsid w:val="42E14644"/>
    <w:rsid w:val="42FE7335"/>
    <w:rsid w:val="43432850"/>
    <w:rsid w:val="434826C5"/>
    <w:rsid w:val="43D1290A"/>
    <w:rsid w:val="43D45F57"/>
    <w:rsid w:val="43EC11C0"/>
    <w:rsid w:val="44134DC7"/>
    <w:rsid w:val="4417020A"/>
    <w:rsid w:val="44B244EA"/>
    <w:rsid w:val="44D426B2"/>
    <w:rsid w:val="44E126D9"/>
    <w:rsid w:val="457F1EF2"/>
    <w:rsid w:val="45B25DBF"/>
    <w:rsid w:val="46004C08"/>
    <w:rsid w:val="46346AD8"/>
    <w:rsid w:val="46556E08"/>
    <w:rsid w:val="467E6A65"/>
    <w:rsid w:val="472052AE"/>
    <w:rsid w:val="474F1C7C"/>
    <w:rsid w:val="47514803"/>
    <w:rsid w:val="475F2BAA"/>
    <w:rsid w:val="476A2E5A"/>
    <w:rsid w:val="47BE5592"/>
    <w:rsid w:val="47E34562"/>
    <w:rsid w:val="48141018"/>
    <w:rsid w:val="4855458E"/>
    <w:rsid w:val="48BE227F"/>
    <w:rsid w:val="48E46781"/>
    <w:rsid w:val="48F36C71"/>
    <w:rsid w:val="49056E01"/>
    <w:rsid w:val="49751EBD"/>
    <w:rsid w:val="49AD4EE6"/>
    <w:rsid w:val="49F96717"/>
    <w:rsid w:val="4A425141"/>
    <w:rsid w:val="4A565917"/>
    <w:rsid w:val="4A744E0D"/>
    <w:rsid w:val="4A8C65D0"/>
    <w:rsid w:val="4A9F53DC"/>
    <w:rsid w:val="4AB34B18"/>
    <w:rsid w:val="4AB35F32"/>
    <w:rsid w:val="4B5F6A4E"/>
    <w:rsid w:val="4BA22873"/>
    <w:rsid w:val="4BDC7E7E"/>
    <w:rsid w:val="4C183C0F"/>
    <w:rsid w:val="4C3B3017"/>
    <w:rsid w:val="4C4F6AC2"/>
    <w:rsid w:val="4C645408"/>
    <w:rsid w:val="4C7464C3"/>
    <w:rsid w:val="4C8536A2"/>
    <w:rsid w:val="4C991AEB"/>
    <w:rsid w:val="4CB84667"/>
    <w:rsid w:val="4CD46FC7"/>
    <w:rsid w:val="4D386C53"/>
    <w:rsid w:val="4D6A7B62"/>
    <w:rsid w:val="4D990842"/>
    <w:rsid w:val="4DA5592E"/>
    <w:rsid w:val="4DB74893"/>
    <w:rsid w:val="4DC4703C"/>
    <w:rsid w:val="4E4B5067"/>
    <w:rsid w:val="4E7F26E7"/>
    <w:rsid w:val="4EE03E76"/>
    <w:rsid w:val="4EE334F2"/>
    <w:rsid w:val="4F28081F"/>
    <w:rsid w:val="4F7800DE"/>
    <w:rsid w:val="4FA5118E"/>
    <w:rsid w:val="4FA90297"/>
    <w:rsid w:val="4FB210D0"/>
    <w:rsid w:val="508B1A68"/>
    <w:rsid w:val="515801C7"/>
    <w:rsid w:val="518F170F"/>
    <w:rsid w:val="51937451"/>
    <w:rsid w:val="51C10DA9"/>
    <w:rsid w:val="51C96E37"/>
    <w:rsid w:val="51DD06CC"/>
    <w:rsid w:val="520B6FE7"/>
    <w:rsid w:val="52396428"/>
    <w:rsid w:val="52491AC3"/>
    <w:rsid w:val="525553CB"/>
    <w:rsid w:val="5259229A"/>
    <w:rsid w:val="526F435E"/>
    <w:rsid w:val="52C04EC8"/>
    <w:rsid w:val="52D01848"/>
    <w:rsid w:val="538C5F06"/>
    <w:rsid w:val="53C73643"/>
    <w:rsid w:val="540B1521"/>
    <w:rsid w:val="540B20AB"/>
    <w:rsid w:val="549500A2"/>
    <w:rsid w:val="5495703C"/>
    <w:rsid w:val="549613C9"/>
    <w:rsid w:val="54AF6794"/>
    <w:rsid w:val="5569009D"/>
    <w:rsid w:val="55C70203"/>
    <w:rsid w:val="55E02539"/>
    <w:rsid w:val="561D1AA7"/>
    <w:rsid w:val="56666EE2"/>
    <w:rsid w:val="56CA3778"/>
    <w:rsid w:val="56CB7452"/>
    <w:rsid w:val="56E10C5F"/>
    <w:rsid w:val="572C7744"/>
    <w:rsid w:val="572F3778"/>
    <w:rsid w:val="576F626A"/>
    <w:rsid w:val="578F2469"/>
    <w:rsid w:val="57995095"/>
    <w:rsid w:val="57DB24AE"/>
    <w:rsid w:val="58690F0C"/>
    <w:rsid w:val="587D085E"/>
    <w:rsid w:val="588614BA"/>
    <w:rsid w:val="58B008E9"/>
    <w:rsid w:val="592D3CE7"/>
    <w:rsid w:val="59466C53"/>
    <w:rsid w:val="594B04F7"/>
    <w:rsid w:val="59D6660B"/>
    <w:rsid w:val="5A002505"/>
    <w:rsid w:val="5A2D4B30"/>
    <w:rsid w:val="5A3344C9"/>
    <w:rsid w:val="5B081706"/>
    <w:rsid w:val="5B1A473F"/>
    <w:rsid w:val="5B1C2265"/>
    <w:rsid w:val="5B3550D5"/>
    <w:rsid w:val="5B61411C"/>
    <w:rsid w:val="5B857E0A"/>
    <w:rsid w:val="5B880838"/>
    <w:rsid w:val="5B9C33A6"/>
    <w:rsid w:val="5BA67D81"/>
    <w:rsid w:val="5C5B6A91"/>
    <w:rsid w:val="5C615136"/>
    <w:rsid w:val="5C751208"/>
    <w:rsid w:val="5CD728E8"/>
    <w:rsid w:val="5D23218F"/>
    <w:rsid w:val="5D284EF1"/>
    <w:rsid w:val="5D621D30"/>
    <w:rsid w:val="5D867E6A"/>
    <w:rsid w:val="5D9407D9"/>
    <w:rsid w:val="5DCF35BF"/>
    <w:rsid w:val="5E9B5B97"/>
    <w:rsid w:val="5F002F47"/>
    <w:rsid w:val="5F633A22"/>
    <w:rsid w:val="5FA12D39"/>
    <w:rsid w:val="5FE01AB3"/>
    <w:rsid w:val="600C0AFA"/>
    <w:rsid w:val="60D3786A"/>
    <w:rsid w:val="60D847A8"/>
    <w:rsid w:val="60E57176"/>
    <w:rsid w:val="61101995"/>
    <w:rsid w:val="611A7247"/>
    <w:rsid w:val="613640BC"/>
    <w:rsid w:val="61475B62"/>
    <w:rsid w:val="61AD00BB"/>
    <w:rsid w:val="61B416C9"/>
    <w:rsid w:val="61C97A25"/>
    <w:rsid w:val="61D26EF9"/>
    <w:rsid w:val="622A170C"/>
    <w:rsid w:val="626B4FED"/>
    <w:rsid w:val="62A56FAF"/>
    <w:rsid w:val="62BE3C02"/>
    <w:rsid w:val="62C17904"/>
    <w:rsid w:val="62C62CF6"/>
    <w:rsid w:val="6324615B"/>
    <w:rsid w:val="632C5010"/>
    <w:rsid w:val="639B14F1"/>
    <w:rsid w:val="63BF2E3F"/>
    <w:rsid w:val="64030466"/>
    <w:rsid w:val="64281C7B"/>
    <w:rsid w:val="648E493A"/>
    <w:rsid w:val="64B74DAD"/>
    <w:rsid w:val="64E468C4"/>
    <w:rsid w:val="658E1FB1"/>
    <w:rsid w:val="6593581A"/>
    <w:rsid w:val="65EE2A50"/>
    <w:rsid w:val="66031C41"/>
    <w:rsid w:val="662605CB"/>
    <w:rsid w:val="66477495"/>
    <w:rsid w:val="667473F9"/>
    <w:rsid w:val="66CD2666"/>
    <w:rsid w:val="66E04A56"/>
    <w:rsid w:val="675B29A9"/>
    <w:rsid w:val="67713939"/>
    <w:rsid w:val="67AA3C86"/>
    <w:rsid w:val="67CC6DC1"/>
    <w:rsid w:val="67DA30D6"/>
    <w:rsid w:val="67E91354"/>
    <w:rsid w:val="681C5653"/>
    <w:rsid w:val="68324E76"/>
    <w:rsid w:val="685400D7"/>
    <w:rsid w:val="68634C04"/>
    <w:rsid w:val="688F051A"/>
    <w:rsid w:val="689478DF"/>
    <w:rsid w:val="68CB3FAC"/>
    <w:rsid w:val="69A2427D"/>
    <w:rsid w:val="69C45FA2"/>
    <w:rsid w:val="6A287BF9"/>
    <w:rsid w:val="6A5103A2"/>
    <w:rsid w:val="6A890F99"/>
    <w:rsid w:val="6ACB3360"/>
    <w:rsid w:val="6B2F4483"/>
    <w:rsid w:val="6BC664FD"/>
    <w:rsid w:val="6BDC28AB"/>
    <w:rsid w:val="6C0E79A8"/>
    <w:rsid w:val="6C1B0E86"/>
    <w:rsid w:val="6C39265B"/>
    <w:rsid w:val="6C400DED"/>
    <w:rsid w:val="6CAF12FD"/>
    <w:rsid w:val="6CEF7DBB"/>
    <w:rsid w:val="6D1C0592"/>
    <w:rsid w:val="6D236CB8"/>
    <w:rsid w:val="6D237CCD"/>
    <w:rsid w:val="6D486EEA"/>
    <w:rsid w:val="6D7777CF"/>
    <w:rsid w:val="6D8F57F4"/>
    <w:rsid w:val="6DB95EA9"/>
    <w:rsid w:val="6DEA61F3"/>
    <w:rsid w:val="6DFD7CD4"/>
    <w:rsid w:val="6E423939"/>
    <w:rsid w:val="6E4858A9"/>
    <w:rsid w:val="6EA2087C"/>
    <w:rsid w:val="6EAB14DE"/>
    <w:rsid w:val="6ECB1CAE"/>
    <w:rsid w:val="6EF2535F"/>
    <w:rsid w:val="6F3D51E5"/>
    <w:rsid w:val="6F75049B"/>
    <w:rsid w:val="6F754429"/>
    <w:rsid w:val="6F777BE1"/>
    <w:rsid w:val="6F885CC3"/>
    <w:rsid w:val="6FDB4045"/>
    <w:rsid w:val="7004359C"/>
    <w:rsid w:val="70251764"/>
    <w:rsid w:val="707D334E"/>
    <w:rsid w:val="707F0E75"/>
    <w:rsid w:val="714D3513"/>
    <w:rsid w:val="715A543E"/>
    <w:rsid w:val="71B0505E"/>
    <w:rsid w:val="720726AB"/>
    <w:rsid w:val="722A12B4"/>
    <w:rsid w:val="72563E57"/>
    <w:rsid w:val="72AE7234"/>
    <w:rsid w:val="731A6539"/>
    <w:rsid w:val="735C36EF"/>
    <w:rsid w:val="73685BF0"/>
    <w:rsid w:val="73810993"/>
    <w:rsid w:val="738C65A0"/>
    <w:rsid w:val="73B13A3B"/>
    <w:rsid w:val="73BA21C4"/>
    <w:rsid w:val="73BB49CC"/>
    <w:rsid w:val="73DA4614"/>
    <w:rsid w:val="740873D3"/>
    <w:rsid w:val="741C1DA4"/>
    <w:rsid w:val="74363F40"/>
    <w:rsid w:val="74E27C24"/>
    <w:rsid w:val="758D193E"/>
    <w:rsid w:val="75C57FE7"/>
    <w:rsid w:val="764D731F"/>
    <w:rsid w:val="76860D0B"/>
    <w:rsid w:val="774F0691"/>
    <w:rsid w:val="775F677F"/>
    <w:rsid w:val="777A05E8"/>
    <w:rsid w:val="77B04009"/>
    <w:rsid w:val="77D2720E"/>
    <w:rsid w:val="782E0677"/>
    <w:rsid w:val="782F13D2"/>
    <w:rsid w:val="783F4B4D"/>
    <w:rsid w:val="78520C1D"/>
    <w:rsid w:val="786C7F30"/>
    <w:rsid w:val="78A00B27"/>
    <w:rsid w:val="78DB50B6"/>
    <w:rsid w:val="78F20D6C"/>
    <w:rsid w:val="78F33792"/>
    <w:rsid w:val="79202119"/>
    <w:rsid w:val="79FD1F00"/>
    <w:rsid w:val="7A552C46"/>
    <w:rsid w:val="7A6A66F1"/>
    <w:rsid w:val="7A714A9B"/>
    <w:rsid w:val="7A792DD8"/>
    <w:rsid w:val="7AB45BBF"/>
    <w:rsid w:val="7AD61FD9"/>
    <w:rsid w:val="7B0816F7"/>
    <w:rsid w:val="7B1E128A"/>
    <w:rsid w:val="7B2E3BC3"/>
    <w:rsid w:val="7B4F58E7"/>
    <w:rsid w:val="7B560A24"/>
    <w:rsid w:val="7B5B3EA0"/>
    <w:rsid w:val="7B62692F"/>
    <w:rsid w:val="7B9E41B1"/>
    <w:rsid w:val="7BAC2D3A"/>
    <w:rsid w:val="7BB045D8"/>
    <w:rsid w:val="7C025578"/>
    <w:rsid w:val="7C3570AE"/>
    <w:rsid w:val="7C5D53AE"/>
    <w:rsid w:val="7C613B24"/>
    <w:rsid w:val="7C7A4BE6"/>
    <w:rsid w:val="7CA83501"/>
    <w:rsid w:val="7CBE4AD3"/>
    <w:rsid w:val="7CE00EED"/>
    <w:rsid w:val="7CE0713F"/>
    <w:rsid w:val="7CEA1FD8"/>
    <w:rsid w:val="7D314E1F"/>
    <w:rsid w:val="7D380D29"/>
    <w:rsid w:val="7D4A6037"/>
    <w:rsid w:val="7D6E64F9"/>
    <w:rsid w:val="7D8675E3"/>
    <w:rsid w:val="7DCE51E9"/>
    <w:rsid w:val="7E074257"/>
    <w:rsid w:val="7E1C7D03"/>
    <w:rsid w:val="7E8B30DA"/>
    <w:rsid w:val="7EFC5D86"/>
    <w:rsid w:val="7F166A0D"/>
    <w:rsid w:val="7F1B352C"/>
    <w:rsid w:val="7FA97CBC"/>
    <w:rsid w:val="7FAC3308"/>
    <w:rsid w:val="7FF058EB"/>
    <w:rsid w:val="7FF456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宋体" w:hAnsi="宋体" w:eastAsia="宋体" w:cs="Times New Roman"/>
      <w:kern w:val="2"/>
      <w:sz w:val="24"/>
      <w:szCs w:val="24"/>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outlineLvl w:val="0"/>
    </w:pPr>
    <w:rPr>
      <w:b/>
      <w:kern w:val="44"/>
      <w:sz w:val="44"/>
    </w:rPr>
  </w:style>
  <w:style w:type="paragraph" w:styleId="3">
    <w:name w:val="heading 2"/>
    <w:basedOn w:val="1"/>
    <w:next w:val="1"/>
    <w:semiHidden/>
    <w:unhideWhenUsed/>
    <w:qFormat/>
    <w:uiPriority w:val="0"/>
    <w:pPr>
      <w:keepNext/>
      <w:keepLines/>
      <w:numPr>
        <w:ilvl w:val="1"/>
        <w:numId w:val="1"/>
      </w:numPr>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ind w:firstLine="400"/>
      <w:outlineLvl w:val="2"/>
    </w:pPr>
    <w:rPr>
      <w:b/>
      <w:sz w:val="32"/>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firstLine="402"/>
      <w:outlineLvl w:val="7"/>
    </w:pPr>
    <w:rPr>
      <w:rFonts w:ascii="Arial" w:hAnsi="Arial" w:eastAsia="宋体"/>
      <w:b/>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21">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11">
    <w:name w:val="annotation text"/>
    <w:basedOn w:val="1"/>
    <w:qFormat/>
    <w:uiPriority w:val="0"/>
    <w:pPr>
      <w:jc w:val="left"/>
    </w:pPr>
  </w:style>
  <w:style w:type="paragraph" w:styleId="12">
    <w:name w:val="Body Text"/>
    <w:basedOn w:val="1"/>
    <w:qFormat/>
    <w:uiPriority w:val="0"/>
    <w:pPr>
      <w:autoSpaceDE w:val="0"/>
      <w:autoSpaceDN w:val="0"/>
      <w:adjustRightInd w:val="0"/>
      <w:spacing w:after="120" w:afterLines="0"/>
      <w:jc w:val="left"/>
    </w:pPr>
    <w:rPr>
      <w:rFonts w:ascii="宋体" w:hAnsi="宋体" w:eastAsia="宋体" w:cs="Times New Roman"/>
      <w:kern w:val="0"/>
      <w:sz w:val="24"/>
      <w:szCs w:val="20"/>
    </w:rPr>
  </w:style>
  <w:style w:type="paragraph" w:styleId="13">
    <w:name w:val="Body Text Indent"/>
    <w:basedOn w:val="1"/>
    <w:qFormat/>
    <w:uiPriority w:val="0"/>
    <w:pPr>
      <w:spacing w:line="200" w:lineRule="exact"/>
      <w:ind w:firstLine="301"/>
    </w:pPr>
    <w:rPr>
      <w:rFonts w:ascii="宋体" w:hAnsi="Courier New"/>
      <w:spacing w:val="-4"/>
      <w:sz w:val="18"/>
      <w:szCs w:val="20"/>
    </w:rPr>
  </w:style>
  <w:style w:type="paragraph" w:styleId="14">
    <w:name w:val="Plain Text"/>
    <w:basedOn w:val="1"/>
    <w:next w:val="2"/>
    <w:qFormat/>
    <w:uiPriority w:val="0"/>
    <w:rPr>
      <w:rFonts w:ascii="宋体" w:hAnsi="Courier New"/>
      <w:szCs w:val="20"/>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Normal (Web)"/>
    <w:basedOn w:val="1"/>
    <w:qFormat/>
    <w:uiPriority w:val="99"/>
    <w:pPr>
      <w:widowControl/>
      <w:spacing w:before="100" w:beforeAutospacing="1" w:after="100" w:afterAutospacing="1"/>
      <w:jc w:val="left"/>
    </w:pPr>
    <w:rPr>
      <w:rFonts w:hint="eastAsia" w:ascii="宋体" w:hAnsi="宋体"/>
      <w:kern w:val="0"/>
      <w:sz w:val="24"/>
    </w:rPr>
  </w:style>
  <w:style w:type="paragraph" w:styleId="18">
    <w:name w:val="Title"/>
    <w:qFormat/>
    <w:uiPriority w:val="10"/>
    <w:pPr>
      <w:spacing w:line="720" w:lineRule="exact"/>
      <w:jc w:val="center"/>
    </w:pPr>
    <w:rPr>
      <w:rFonts w:ascii="方正小标宋简体" w:hAnsi="方正小标宋简体" w:eastAsia="方正小标宋简体" w:cs="方正小标宋简体"/>
      <w:sz w:val="44"/>
      <w:szCs w:val="44"/>
      <w:lang w:val="en-US" w:eastAsia="zh-CN" w:bidi="ar-SA"/>
    </w:rPr>
  </w:style>
  <w:style w:type="paragraph" w:styleId="19">
    <w:name w:val="Body Text First Indent 2"/>
    <w:basedOn w:val="13"/>
    <w:next w:val="1"/>
    <w:qFormat/>
    <w:uiPriority w:val="0"/>
    <w:pPr>
      <w:spacing w:line="360" w:lineRule="auto"/>
      <w:ind w:firstLine="0"/>
    </w:pPr>
    <w:rPr>
      <w:sz w:val="24"/>
    </w:rPr>
  </w:style>
  <w:style w:type="character" w:styleId="22">
    <w:name w:val="Strong"/>
    <w:basedOn w:val="21"/>
    <w:qFormat/>
    <w:uiPriority w:val="0"/>
    <w:rPr>
      <w:b/>
    </w:rPr>
  </w:style>
  <w:style w:type="paragraph" w:customStyle="1" w:styleId="23">
    <w:name w:val="表格文字"/>
    <w:basedOn w:val="1"/>
    <w:next w:val="12"/>
    <w:qFormat/>
    <w:uiPriority w:val="99"/>
    <w:pPr>
      <w:spacing w:before="25" w:after="25"/>
      <w:jc w:val="left"/>
    </w:pPr>
    <w:rPr>
      <w:bCs/>
      <w:spacing w:val="10"/>
      <w:kern w:val="0"/>
      <w:sz w:val="24"/>
    </w:rPr>
  </w:style>
  <w:style w:type="paragraph" w:customStyle="1" w:styleId="24">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5250</Words>
  <Characters>5547</Characters>
  <Lines>0</Lines>
  <Paragraphs>0</Paragraphs>
  <TotalTime>0</TotalTime>
  <ScaleCrop>false</ScaleCrop>
  <LinksUpToDate>false</LinksUpToDate>
  <CharactersWithSpaces>5571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2024-09-06T03:39:00Z</dcterms:created>
  <dc:creator>路霉霉</dc:creator>
  <cp:lastModifiedBy>医信中心</cp:lastModifiedBy>
  <dcterms:modified xsi:type="dcterms:W3CDTF">2026-08-21T09:06:52Z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7EB0F296D1B744B98D3C810B692A427C_11</vt:lpwstr>
  </property>
  <property fmtid="{D5CDD505-2E9C-101B-9397-08002B2CF9AE}" pid="4" name="KSOTemplateDocerSaveRecord">
    <vt:lpwstr>eyJoZGlkIjoiZjc2NzhhMGJhYjYxNzk4NzgwNjc5MTE4ZjFmMzI0MTUiLCJ1c2VySWQiOiI0NDkzNjAxODIifQ==</vt:lpwstr>
  </property>
</Properties>
</file>