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42B3D">
      <w:pPr>
        <w:pStyle w:val="12"/>
        <w:keepNext w:val="0"/>
        <w:keepLines w:val="0"/>
        <w:pageBreakBefore w:val="0"/>
        <w:kinsoku/>
        <w:wordWrap/>
        <w:overflowPunct/>
        <w:topLinePunct w:val="0"/>
        <w:autoSpaceDE/>
        <w:autoSpaceDN/>
        <w:bidi w:val="0"/>
        <w:adjustRightInd/>
        <w:snapToGrid/>
        <w:spacing w:after="60" w:line="560" w:lineRule="exact"/>
        <w:ind w:firstLine="400"/>
        <w:jc w:val="center"/>
        <w:textAlignment w:val="auto"/>
        <w:rPr>
          <w:rFonts w:hint="eastAsia" w:ascii="方正小标宋简体" w:hAnsi="方正小标宋简体" w:eastAsia="方正小标宋简体" w:cs="方正小标宋简体"/>
          <w:b/>
          <w:sz w:val="36"/>
          <w:szCs w:val="36"/>
          <w:lang w:val="en-US" w:eastAsia="zh-CN"/>
        </w:rPr>
      </w:pPr>
    </w:p>
    <w:p w14:paraId="3BBC555E">
      <w:pPr>
        <w:pStyle w:val="12"/>
        <w:keepNext w:val="0"/>
        <w:keepLines w:val="0"/>
        <w:pageBreakBefore w:val="0"/>
        <w:kinsoku/>
        <w:wordWrap/>
        <w:overflowPunct/>
        <w:topLinePunct w:val="0"/>
        <w:autoSpaceDE/>
        <w:autoSpaceDN/>
        <w:bidi w:val="0"/>
        <w:adjustRightInd/>
        <w:snapToGrid/>
        <w:spacing w:after="60" w:line="560" w:lineRule="exact"/>
        <w:ind w:firstLine="400"/>
        <w:jc w:val="center"/>
        <w:textAlignment w:val="auto"/>
        <w:rPr>
          <w:rFonts w:hint="eastAsia" w:ascii="方正小标宋简体" w:hAnsi="方正小标宋简体" w:eastAsia="方正小标宋简体" w:cs="方正小标宋简体"/>
          <w:b/>
          <w:sz w:val="36"/>
          <w:szCs w:val="36"/>
          <w:lang w:val="en-US" w:eastAsia="zh-CN"/>
        </w:rPr>
      </w:pPr>
      <w:r>
        <w:rPr>
          <w:rFonts w:hint="eastAsia" w:ascii="方正小标宋简体" w:hAnsi="方正小标宋简体" w:eastAsia="方正小标宋简体" w:cs="方正小标宋简体"/>
          <w:b/>
          <w:sz w:val="36"/>
          <w:szCs w:val="36"/>
          <w:lang w:val="en-US" w:eastAsia="zh-CN"/>
        </w:rPr>
        <w:t>服务器和存储设备维保参数需求</w:t>
      </w:r>
    </w:p>
    <w:p w14:paraId="54D3C0B8">
      <w:pPr>
        <w:pStyle w:val="12"/>
        <w:keepNext w:val="0"/>
        <w:keepLines w:val="0"/>
        <w:pageBreakBefore w:val="0"/>
        <w:kinsoku/>
        <w:wordWrap/>
        <w:overflowPunct/>
        <w:topLinePunct w:val="0"/>
        <w:autoSpaceDE/>
        <w:autoSpaceDN/>
        <w:bidi w:val="0"/>
        <w:adjustRightInd/>
        <w:snapToGrid/>
        <w:spacing w:after="60" w:line="560" w:lineRule="exact"/>
        <w:ind w:firstLine="400"/>
        <w:jc w:val="center"/>
        <w:textAlignment w:val="auto"/>
        <w:rPr>
          <w:rFonts w:hint="eastAsia" w:ascii="方正小标宋简体" w:hAnsi="方正小标宋简体" w:eastAsia="方正小标宋简体" w:cs="方正小标宋简体"/>
          <w:b/>
          <w:sz w:val="36"/>
          <w:szCs w:val="36"/>
          <w:lang w:val="en-US" w:eastAsia="zh-CN"/>
        </w:rPr>
      </w:pPr>
    </w:p>
    <w:p w14:paraId="3439722C">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项目概况</w:t>
      </w:r>
    </w:p>
    <w:p w14:paraId="597CC06B">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采购单位：</w:t>
      </w:r>
      <w:bookmarkStart w:id="0" w:name="OLE_LINK21"/>
      <w:r>
        <w:rPr>
          <w:rFonts w:hint="eastAsia" w:ascii="仿宋_GB2312" w:hAnsi="仿宋_GB2312" w:eastAsia="仿宋_GB2312" w:cs="仿宋_GB2312"/>
          <w:sz w:val="28"/>
          <w:szCs w:val="28"/>
        </w:rPr>
        <w:t>中山大学附属第一医院广西医院</w:t>
      </w:r>
      <w:bookmarkEnd w:id="0"/>
    </w:p>
    <w:p w14:paraId="1B62EEF0">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w:t>
      </w:r>
      <w:r>
        <w:rPr>
          <w:rFonts w:hint="eastAsia" w:ascii="仿宋_GB2312" w:hAnsi="仿宋_GB2312" w:eastAsia="仿宋_GB2312" w:cs="仿宋_GB2312"/>
          <w:sz w:val="28"/>
          <w:szCs w:val="28"/>
          <w:lang w:val="en-US" w:eastAsia="zh-CN"/>
        </w:rPr>
        <w:t>服务器和存储设备维保</w:t>
      </w:r>
    </w:p>
    <w:p w14:paraId="2F77B5AE">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项目地点：广西壮族自治区南宁市青秀区佛子岭路3号</w:t>
      </w:r>
    </w:p>
    <w:p w14:paraId="08BE7EA4">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采购预算：</w:t>
      </w:r>
      <w:r>
        <w:rPr>
          <w:rFonts w:hint="eastAsia" w:ascii="仿宋_GB2312" w:hAnsi="仿宋_GB2312" w:eastAsia="仿宋_GB2312" w:cs="仿宋_GB2312"/>
          <w:sz w:val="28"/>
          <w:szCs w:val="28"/>
          <w:lang w:val="en-US" w:eastAsia="zh-CN"/>
        </w:rPr>
        <w:t>30万元</w:t>
      </w:r>
    </w:p>
    <w:p w14:paraId="398A7141">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采购上控价：</w:t>
      </w:r>
      <w:r>
        <w:rPr>
          <w:rFonts w:hint="eastAsia" w:ascii="仿宋_GB2312" w:hAnsi="仿宋_GB2312" w:eastAsia="仿宋_GB2312" w:cs="仿宋_GB2312"/>
          <w:sz w:val="28"/>
          <w:szCs w:val="28"/>
          <w:lang w:val="en-US" w:eastAsia="zh-CN"/>
        </w:rPr>
        <w:t>28.68</w:t>
      </w:r>
      <w:r>
        <w:rPr>
          <w:rFonts w:hint="eastAsia" w:ascii="仿宋_GB2312" w:hAnsi="仿宋_GB2312" w:eastAsia="仿宋_GB2312" w:cs="仿宋_GB2312"/>
          <w:sz w:val="28"/>
          <w:szCs w:val="28"/>
        </w:rPr>
        <w:t>万元</w:t>
      </w:r>
    </w:p>
    <w:p w14:paraId="3266268B">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服务期：合同签订之日起1年</w:t>
      </w:r>
    </w:p>
    <w:p w14:paraId="692277F1">
      <w:pPr>
        <w:keepNext w:val="0"/>
        <w:keepLines w:val="0"/>
        <w:pageBreakBefore w:val="0"/>
        <w:numPr>
          <w:ilvl w:val="0"/>
          <w:numId w:val="2"/>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采购方式：院内</w:t>
      </w:r>
      <w:r>
        <w:rPr>
          <w:rFonts w:hint="eastAsia" w:ascii="仿宋_GB2312" w:hAnsi="仿宋_GB2312" w:eastAsia="仿宋_GB2312" w:cs="仿宋_GB2312"/>
          <w:sz w:val="28"/>
          <w:szCs w:val="28"/>
          <w:lang w:val="en-US" w:eastAsia="zh-CN"/>
        </w:rPr>
        <w:t>谈判</w:t>
      </w:r>
    </w:p>
    <w:p w14:paraId="5A1890AF">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lang w:eastAsia="zh-CN"/>
        </w:rPr>
      </w:pPr>
    </w:p>
    <w:p w14:paraId="4750489C">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资质要求</w:t>
      </w:r>
    </w:p>
    <w:p w14:paraId="59A4771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z w:val="28"/>
          <w:szCs w:val="28"/>
          <w:lang w:val="en-US" w:eastAsia="zh-CN"/>
        </w:rPr>
        <w:t>必须是在中华人民共和国境内注册并合法运作的独立法人机构；</w:t>
      </w:r>
    </w:p>
    <w:p w14:paraId="19F777C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（二）</w:t>
      </w:r>
      <w:r>
        <w:rPr>
          <w:rFonts w:hint="eastAsia" w:ascii="仿宋_GB2312" w:hAnsi="仿宋_GB2312" w:eastAsia="仿宋_GB2312" w:cs="仿宋_GB2312"/>
          <w:sz w:val="28"/>
          <w:szCs w:val="28"/>
          <w:lang w:val="en-US" w:eastAsia="zh-CN"/>
        </w:rPr>
        <w:t>满足《中华人民共和国政府采购法》第二十二条规定；</w:t>
      </w:r>
    </w:p>
    <w:p w14:paraId="21D44E9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（三）</w:t>
      </w:r>
      <w:r>
        <w:rPr>
          <w:rFonts w:hint="eastAsia" w:ascii="仿宋_GB2312" w:hAnsi="仿宋_GB2312" w:eastAsia="仿宋_GB2312" w:cs="仿宋_GB2312"/>
          <w:sz w:val="28"/>
          <w:szCs w:val="28"/>
          <w:lang w:val="en-US" w:eastAsia="zh-CN"/>
        </w:rPr>
        <w:t>具有独立承担民事责任能力的在中华人民共和国境内登记注册的法人或其他组织营业执照;</w:t>
      </w:r>
    </w:p>
    <w:p w14:paraId="40F1F09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（四）</w:t>
      </w:r>
      <w:r>
        <w:rPr>
          <w:rFonts w:hint="eastAsia" w:ascii="仿宋_GB2312" w:hAnsi="仿宋_GB2312" w:eastAsia="仿宋_GB2312" w:cs="仿宋_GB2312"/>
          <w:sz w:val="28"/>
          <w:szCs w:val="28"/>
          <w:lang w:val="en-US" w:eastAsia="zh-CN"/>
        </w:rPr>
        <w:t>未被列入失信被执行人、重大税收违法失信主体、政府采购严重违法失信行为记录名单;</w:t>
      </w:r>
    </w:p>
    <w:p w14:paraId="40E1970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lang w:val="en-US" w:eastAsia="zh-CN"/>
        </w:rPr>
      </w:pPr>
      <w:r>
        <w:rPr>
          <w:rFonts w:hint="eastAsia" w:ascii="仿宋_GB2312" w:hAnsi="仿宋_GB2312" w:eastAsia="仿宋_GB2312" w:cs="仿宋_GB2312"/>
          <w:kern w:val="2"/>
          <w:sz w:val="28"/>
          <w:szCs w:val="28"/>
          <w:lang w:val="en-US" w:eastAsia="zh-CN" w:bidi="ar-SA"/>
        </w:rPr>
        <w:t>（五）</w:t>
      </w:r>
      <w:r>
        <w:rPr>
          <w:rFonts w:hint="eastAsia" w:ascii="仿宋_GB2312" w:hAnsi="仿宋_GB2312" w:eastAsia="仿宋_GB2312" w:cs="仿宋_GB2312"/>
          <w:sz w:val="28"/>
          <w:szCs w:val="28"/>
          <w:lang w:val="en-US" w:eastAsia="zh-CN"/>
        </w:rPr>
        <w:t>本项目不接受联合体投标</w:t>
      </w:r>
      <w:r>
        <w:rPr>
          <w:rFonts w:hint="eastAsia"/>
          <w:lang w:val="en-US" w:eastAsia="zh-CN"/>
        </w:rPr>
        <w:br w:type="page"/>
      </w:r>
      <w:bookmarkStart w:id="1" w:name="_GoBack"/>
      <w:bookmarkEnd w:id="1"/>
    </w:p>
    <w:p w14:paraId="75B9BFE2">
      <w:pPr>
        <w:keepNext w:val="0"/>
        <w:keepLines w:val="0"/>
        <w:pageBreakBefore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rPr>
        <w:t>参数</w:t>
      </w:r>
      <w:r>
        <w:rPr>
          <w:rFonts w:hint="eastAsia" w:ascii="黑体" w:hAnsi="黑体" w:eastAsia="黑体" w:cs="黑体"/>
          <w:b w:val="0"/>
          <w:bCs w:val="0"/>
          <w:sz w:val="30"/>
          <w:szCs w:val="30"/>
          <w:lang w:val="en-US" w:eastAsia="zh-CN"/>
        </w:rPr>
        <w:t>要求</w:t>
      </w:r>
    </w:p>
    <w:tbl>
      <w:tblPr>
        <w:tblStyle w:val="8"/>
        <w:tblW w:w="5107" w:type="pct"/>
        <w:jc w:val="center"/>
        <w:tblLayout w:type="fixed"/>
        <w:tblCellMar>
          <w:top w:w="0" w:type="dxa"/>
          <w:left w:w="108" w:type="dxa"/>
          <w:bottom w:w="0" w:type="dxa"/>
          <w:right w:w="108" w:type="dxa"/>
        </w:tblCellMar>
      </w:tblPr>
      <w:tblGrid>
        <w:gridCol w:w="636"/>
        <w:gridCol w:w="1073"/>
        <w:gridCol w:w="6335"/>
        <w:gridCol w:w="660"/>
      </w:tblGrid>
      <w:tr w14:paraId="6EF533A0">
        <w:tblPrEx>
          <w:tblCellMar>
            <w:top w:w="0" w:type="dxa"/>
            <w:left w:w="108" w:type="dxa"/>
            <w:bottom w:w="0" w:type="dxa"/>
            <w:right w:w="108" w:type="dxa"/>
          </w:tblCellMar>
        </w:tblPrEx>
        <w:trPr>
          <w:trHeight w:val="662" w:hRule="atLeast"/>
          <w:jc w:val="center"/>
        </w:trPr>
        <w:tc>
          <w:tcPr>
            <w:tcW w:w="365" w:type="pct"/>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3160ECB0">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序号</w:t>
            </w:r>
          </w:p>
        </w:tc>
        <w:tc>
          <w:tcPr>
            <w:tcW w:w="616" w:type="pct"/>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4986F661">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名称</w:t>
            </w:r>
          </w:p>
        </w:tc>
        <w:tc>
          <w:tcPr>
            <w:tcW w:w="3639" w:type="pct"/>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0B10619D">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服务器和存储设备维保参数需求</w:t>
            </w:r>
          </w:p>
        </w:tc>
        <w:tc>
          <w:tcPr>
            <w:tcW w:w="379" w:type="pct"/>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14:paraId="3D5FB8BC">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数量</w:t>
            </w:r>
          </w:p>
        </w:tc>
      </w:tr>
      <w:tr w14:paraId="79A3F440">
        <w:tblPrEx>
          <w:tblCellMar>
            <w:top w:w="0" w:type="dxa"/>
            <w:left w:w="108" w:type="dxa"/>
            <w:bottom w:w="0" w:type="dxa"/>
            <w:right w:w="108" w:type="dxa"/>
          </w:tblCellMar>
        </w:tblPrEx>
        <w:trPr>
          <w:trHeight w:val="662" w:hRule="atLeast"/>
          <w:jc w:val="center"/>
        </w:trPr>
        <w:tc>
          <w:tcPr>
            <w:tcW w:w="365" w:type="pct"/>
            <w:vMerge w:val="continue"/>
            <w:tcBorders>
              <w:top w:val="single" w:color="auto" w:sz="4" w:space="0"/>
              <w:left w:val="single" w:color="auto" w:sz="4" w:space="0"/>
              <w:bottom w:val="single" w:color="auto" w:sz="4" w:space="0"/>
              <w:right w:val="single" w:color="auto" w:sz="4" w:space="0"/>
            </w:tcBorders>
            <w:vAlign w:val="center"/>
          </w:tcPr>
          <w:p w14:paraId="699B7C23">
            <w:pPr>
              <w:widowControl/>
              <w:jc w:val="left"/>
              <w:rPr>
                <w:rFonts w:hint="eastAsia" w:ascii="微软雅黑" w:hAnsi="微软雅黑" w:eastAsia="微软雅黑" w:cs="宋体"/>
                <w:b/>
                <w:bCs/>
                <w:kern w:val="0"/>
                <w:sz w:val="20"/>
                <w:szCs w:val="20"/>
              </w:rPr>
            </w:pPr>
          </w:p>
        </w:tc>
        <w:tc>
          <w:tcPr>
            <w:tcW w:w="616" w:type="pct"/>
            <w:vMerge w:val="continue"/>
            <w:tcBorders>
              <w:top w:val="single" w:color="auto" w:sz="4" w:space="0"/>
              <w:left w:val="single" w:color="auto" w:sz="4" w:space="0"/>
              <w:bottom w:val="single" w:color="auto" w:sz="4" w:space="0"/>
              <w:right w:val="single" w:color="auto" w:sz="4" w:space="0"/>
            </w:tcBorders>
            <w:vAlign w:val="center"/>
          </w:tcPr>
          <w:p w14:paraId="04EAB536">
            <w:pPr>
              <w:widowControl/>
              <w:jc w:val="left"/>
              <w:rPr>
                <w:rFonts w:hint="eastAsia" w:ascii="微软雅黑" w:hAnsi="微软雅黑" w:eastAsia="微软雅黑" w:cs="宋体"/>
                <w:b/>
                <w:bCs/>
                <w:kern w:val="0"/>
                <w:sz w:val="20"/>
                <w:szCs w:val="20"/>
              </w:rPr>
            </w:pPr>
          </w:p>
        </w:tc>
        <w:tc>
          <w:tcPr>
            <w:tcW w:w="3639" w:type="pct"/>
            <w:vMerge w:val="continue"/>
            <w:tcBorders>
              <w:top w:val="single" w:color="auto" w:sz="4" w:space="0"/>
              <w:left w:val="single" w:color="auto" w:sz="4" w:space="0"/>
              <w:bottom w:val="single" w:color="auto" w:sz="4" w:space="0"/>
              <w:right w:val="single" w:color="auto" w:sz="4" w:space="0"/>
            </w:tcBorders>
            <w:vAlign w:val="center"/>
          </w:tcPr>
          <w:p w14:paraId="6FE60C05">
            <w:pPr>
              <w:widowControl/>
              <w:jc w:val="left"/>
              <w:rPr>
                <w:rFonts w:hint="eastAsia" w:ascii="微软雅黑" w:hAnsi="微软雅黑" w:eastAsia="微软雅黑" w:cs="宋体"/>
                <w:b/>
                <w:bCs/>
                <w:kern w:val="0"/>
                <w:sz w:val="20"/>
                <w:szCs w:val="20"/>
              </w:rPr>
            </w:pPr>
          </w:p>
        </w:tc>
        <w:tc>
          <w:tcPr>
            <w:tcW w:w="379" w:type="pct"/>
            <w:vMerge w:val="continue"/>
            <w:tcBorders>
              <w:top w:val="single" w:color="auto" w:sz="4" w:space="0"/>
              <w:left w:val="single" w:color="auto" w:sz="4" w:space="0"/>
              <w:bottom w:val="single" w:color="auto" w:sz="4" w:space="0"/>
              <w:right w:val="single" w:color="auto" w:sz="4" w:space="0"/>
            </w:tcBorders>
            <w:vAlign w:val="center"/>
          </w:tcPr>
          <w:p w14:paraId="26C217F7">
            <w:pPr>
              <w:widowControl/>
              <w:jc w:val="left"/>
              <w:rPr>
                <w:rFonts w:hint="eastAsia" w:ascii="微软雅黑" w:hAnsi="微软雅黑" w:eastAsia="微软雅黑" w:cs="宋体"/>
                <w:b/>
                <w:bCs/>
                <w:kern w:val="0"/>
                <w:sz w:val="20"/>
                <w:szCs w:val="20"/>
              </w:rPr>
            </w:pPr>
          </w:p>
        </w:tc>
      </w:tr>
      <w:tr w14:paraId="235CABC5">
        <w:tblPrEx>
          <w:tblCellMar>
            <w:top w:w="0" w:type="dxa"/>
            <w:left w:w="108" w:type="dxa"/>
            <w:bottom w:w="0" w:type="dxa"/>
            <w:right w:w="108" w:type="dxa"/>
          </w:tblCellMar>
        </w:tblPrEx>
        <w:trPr>
          <w:trHeight w:val="3394" w:hRule="atLeast"/>
          <w:jc w:val="center"/>
        </w:trPr>
        <w:tc>
          <w:tcPr>
            <w:tcW w:w="365" w:type="pct"/>
            <w:tcBorders>
              <w:top w:val="single" w:color="auto" w:sz="4" w:space="0"/>
              <w:left w:val="single" w:color="000000" w:sz="4" w:space="0"/>
              <w:bottom w:val="single" w:color="000000" w:sz="4" w:space="0"/>
              <w:right w:val="single" w:color="000000" w:sz="4" w:space="0"/>
            </w:tcBorders>
            <w:noWrap/>
            <w:vAlign w:val="center"/>
          </w:tcPr>
          <w:p w14:paraId="511C1371">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 xml:space="preserve">1 </w:t>
            </w:r>
          </w:p>
        </w:tc>
        <w:tc>
          <w:tcPr>
            <w:tcW w:w="616" w:type="pct"/>
            <w:tcBorders>
              <w:top w:val="single" w:color="auto" w:sz="4" w:space="0"/>
              <w:left w:val="nil"/>
              <w:bottom w:val="single" w:color="000000" w:sz="4" w:space="0"/>
              <w:right w:val="single" w:color="000000" w:sz="4" w:space="0"/>
            </w:tcBorders>
            <w:noWrap/>
            <w:vAlign w:val="center"/>
          </w:tcPr>
          <w:p w14:paraId="0C3D9267">
            <w:pPr>
              <w:widowControl/>
              <w:jc w:val="center"/>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服务器和存储设备维保</w:t>
            </w:r>
          </w:p>
        </w:tc>
        <w:tc>
          <w:tcPr>
            <w:tcW w:w="3639" w:type="pct"/>
            <w:tcBorders>
              <w:top w:val="single" w:color="auto" w:sz="4" w:space="0"/>
              <w:left w:val="nil"/>
              <w:bottom w:val="single" w:color="000000" w:sz="4" w:space="0"/>
              <w:right w:val="single" w:color="000000" w:sz="4" w:space="0"/>
            </w:tcBorders>
            <w:vAlign w:val="center"/>
          </w:tcPr>
          <w:p w14:paraId="6AC6C39C">
            <w:pPr>
              <w:widowControl/>
              <w:spacing w:line="360" w:lineRule="auto"/>
              <w:jc w:val="left"/>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一、服务要求</w:t>
            </w:r>
          </w:p>
          <w:p w14:paraId="03BF4827">
            <w:pPr>
              <w:widowControl/>
              <w:jc w:val="left"/>
              <w:rPr>
                <w:rFonts w:hint="eastAsia" w:ascii="微软雅黑" w:hAnsi="微软雅黑" w:eastAsia="微软雅黑" w:cs="宋体"/>
                <w:kern w:val="0"/>
                <w:sz w:val="18"/>
                <w:szCs w:val="18"/>
              </w:rPr>
            </w:pPr>
            <w:r>
              <w:rPr>
                <w:rFonts w:hint="eastAsia" w:ascii="微软雅黑" w:hAnsi="微软雅黑" w:eastAsia="微软雅黑" w:cs="宋体"/>
                <w:kern w:val="0"/>
                <w:sz w:val="18"/>
                <w:szCs w:val="18"/>
              </w:rPr>
              <w:t>保障网络体系内设备清单所有设备，不仅保证设备的正常开机和运转，承诺保证配置无误、网络拓扑合理、真实业务可用，保障网络稳定、安全、高效的运行，需提供预防性巡检、实时监控、快速故障响应、持续优化等相关服务，华为虚拟化、存储和新华三服务器所提供维保服务为原厂服务，</w:t>
            </w:r>
            <w:r>
              <w:rPr>
                <w:rFonts w:hint="eastAsia" w:ascii="微软雅黑" w:hAnsi="微软雅黑" w:eastAsia="微软雅黑" w:cs="宋体"/>
                <w:kern w:val="0"/>
                <w:sz w:val="18"/>
                <w:szCs w:val="18"/>
                <w:lang w:val="en-US" w:eastAsia="zh-CN"/>
              </w:rPr>
              <w:t>在合同签订前必须提供合法有效的原厂商售后服务承诺函或授权书，原件备查</w:t>
            </w:r>
            <w:r>
              <w:rPr>
                <w:rFonts w:hint="eastAsia" w:ascii="微软雅黑" w:hAnsi="微软雅黑" w:eastAsia="微软雅黑" w:cs="宋体"/>
                <w:kern w:val="0"/>
                <w:sz w:val="18"/>
                <w:szCs w:val="18"/>
              </w:rPr>
              <w:t>。</w:t>
            </w:r>
          </w:p>
          <w:p w14:paraId="06862C1F">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（1）现场技术支持服务</w:t>
            </w:r>
          </w:p>
          <w:p w14:paraId="42193850">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 xml:space="preserve">  当采购设备出现故障不能使用有效的远程支持方式进行解决时，应协调原厂派遣相应工程师赶往采购人现场，协助进行现场故障诊断及现场故障排除。接到电话15分钟内响应，1小时要到现场。</w:t>
            </w:r>
          </w:p>
          <w:p w14:paraId="39E384A1">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（2）快速备件更换服务</w:t>
            </w:r>
          </w:p>
          <w:p w14:paraId="1E196682">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 xml:space="preserve">  提供备件更换服务，承诺在本地有备件库。</w:t>
            </w:r>
            <w:r>
              <w:rPr>
                <w:rFonts w:hint="eastAsia" w:ascii="微软雅黑" w:hAnsi="微软雅黑" w:eastAsia="微软雅黑"/>
                <w:kern w:val="0"/>
                <w:sz w:val="18"/>
                <w:szCs w:val="18"/>
                <w:lang w:val="en-US" w:eastAsia="zh-CN" w:bidi="ar-SA"/>
              </w:rPr>
              <w:t>服务期间</w:t>
            </w:r>
            <w:r>
              <w:rPr>
                <w:rFonts w:hint="eastAsia" w:ascii="微软雅黑" w:hAnsi="微软雅黑" w:eastAsia="微软雅黑"/>
                <w:kern w:val="0"/>
                <w:sz w:val="18"/>
                <w:szCs w:val="18"/>
                <w:lang w:val="en-US" w:bidi="ar-SA"/>
              </w:rPr>
              <w:t>为本项目中的所有设备提供满足服务期限的备品备件</w:t>
            </w:r>
            <w:r>
              <w:rPr>
                <w:rFonts w:hint="eastAsia" w:ascii="微软雅黑" w:hAnsi="微软雅黑" w:eastAsia="微软雅黑"/>
                <w:kern w:val="0"/>
                <w:sz w:val="18"/>
                <w:szCs w:val="18"/>
                <w:lang w:val="en-US" w:eastAsia="zh-CN" w:bidi="ar-SA"/>
              </w:rPr>
              <w:t>（备件费用包含在本次报价费用内，无额外费用）</w:t>
            </w:r>
            <w:r>
              <w:rPr>
                <w:rFonts w:hint="eastAsia" w:ascii="微软雅黑" w:hAnsi="微软雅黑" w:eastAsia="微软雅黑"/>
                <w:kern w:val="0"/>
                <w:sz w:val="18"/>
                <w:szCs w:val="18"/>
                <w:lang w:val="en-US" w:bidi="ar-SA"/>
              </w:rPr>
              <w:t>，且承诺所有用于本项目中的指定型号的备品备件</w:t>
            </w:r>
            <w:r>
              <w:rPr>
                <w:rFonts w:hint="eastAsia" w:ascii="微软雅黑" w:hAnsi="微软雅黑" w:eastAsia="微软雅黑"/>
                <w:kern w:val="0"/>
                <w:sz w:val="18"/>
                <w:szCs w:val="18"/>
                <w:lang w:val="en-US" w:eastAsia="zh-CN" w:bidi="ar-SA"/>
              </w:rPr>
              <w:t>为产品原厂原装配件</w:t>
            </w:r>
            <w:r>
              <w:rPr>
                <w:rFonts w:hint="eastAsia" w:ascii="微软雅黑" w:hAnsi="微软雅黑" w:eastAsia="微软雅黑"/>
                <w:kern w:val="0"/>
                <w:sz w:val="18"/>
                <w:szCs w:val="18"/>
                <w:lang w:val="en-US" w:bidi="ar-SA"/>
              </w:rPr>
              <w:t>。</w:t>
            </w:r>
          </w:p>
          <w:p w14:paraId="4459633C">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（3）系统深度巡检服务</w:t>
            </w:r>
          </w:p>
          <w:p w14:paraId="594BD44E">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 xml:space="preserve">  在服务期内每1个月配合对设备清单内的设备安排和提供预防性维护巡检服务，常规检查和诊断、以及基于代码级的隐患问题发现，并根据检查结果向采购人提出优化建议，确保采购人网络、存储系统配置、设备使用阈值、设备状态等维持在最佳状态，提前预防问题故障的发生，延长服务器持续运行时间，增加系统可用性，保证清单内设备及系统的持续稳定</w:t>
            </w:r>
            <w:r>
              <w:rPr>
                <w:rFonts w:hint="eastAsia" w:ascii="微软雅黑" w:hAnsi="微软雅黑" w:eastAsia="微软雅黑"/>
                <w:kern w:val="0"/>
                <w:sz w:val="18"/>
                <w:szCs w:val="18"/>
                <w:lang w:val="en-US" w:eastAsia="zh-CN" w:bidi="ar-SA"/>
              </w:rPr>
              <w:t>地</w:t>
            </w:r>
            <w:r>
              <w:rPr>
                <w:rFonts w:hint="eastAsia" w:ascii="微软雅黑" w:hAnsi="微软雅黑" w:eastAsia="微软雅黑"/>
                <w:kern w:val="0"/>
                <w:sz w:val="18"/>
                <w:szCs w:val="18"/>
                <w:lang w:val="en-US" w:bidi="ar-SA"/>
              </w:rPr>
              <w:t>运转，同时帮助采购人有效掌控资产运行状况。并在每一次巡检后必须提供权威的原厂深度巡检检查服务报告。可查看详细列出告警明细，可通过资源信息、问题信息进行排序、筛选、查看，同时根据告警详情提供方案建议。若采购人对于巡检报告中的部分疑问，须协调原厂专家提供报告答疑解读。</w:t>
            </w:r>
          </w:p>
          <w:p w14:paraId="5ABD07BB">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（4）技术支持服务</w:t>
            </w:r>
          </w:p>
          <w:p w14:paraId="70A10C72">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 xml:space="preserve">  有7×24服务热线，提供每周7天、每天24小时的电话技术咨询和指导服务，指导用户排除软件故障，解答用户的技术问题，提供故障申报受理等服务内容。提供无限制的在线帮助和Email技术支持服务。</w:t>
            </w:r>
          </w:p>
          <w:p w14:paraId="64F6597D">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（5）软件支持服务</w:t>
            </w:r>
          </w:p>
          <w:p w14:paraId="7233794A">
            <w:pPr>
              <w:pStyle w:val="7"/>
              <w:ind w:firstLine="180"/>
              <w:rPr>
                <w:rFonts w:hint="eastAsia" w:ascii="微软雅黑" w:hAnsi="微软雅黑" w:eastAsia="微软雅黑"/>
                <w:kern w:val="0"/>
                <w:sz w:val="18"/>
                <w:szCs w:val="18"/>
                <w:lang w:val="en-US" w:bidi="ar-SA"/>
              </w:rPr>
            </w:pPr>
            <w:r>
              <w:rPr>
                <w:rFonts w:hint="eastAsia" w:ascii="微软雅黑" w:hAnsi="微软雅黑" w:eastAsia="微软雅黑"/>
                <w:kern w:val="0"/>
                <w:sz w:val="18"/>
                <w:szCs w:val="18"/>
                <w:lang w:val="en-US" w:bidi="ar-SA"/>
              </w:rPr>
              <w:t xml:space="preserve">  提供维保期内最新的软件版本更新，或提供软件版本更新许可密钥，如软件版本、固件版本、软件版本更新及这些软件的配套文档资料。并及时提出增加、调整原设备厂商发布的操作系统软件或设备底层软件补丁建议。</w:t>
            </w:r>
            <w:r>
              <w:rPr>
                <w:rFonts w:hint="eastAsia" w:ascii="微软雅黑" w:hAnsi="微软雅黑" w:eastAsia="微软雅黑"/>
                <w:kern w:val="0"/>
                <w:sz w:val="18"/>
                <w:szCs w:val="18"/>
                <w:lang w:val="en-US" w:eastAsia="zh-CN" w:bidi="ar-SA"/>
              </w:rPr>
              <w:t>供应商</w:t>
            </w:r>
            <w:r>
              <w:rPr>
                <w:rFonts w:hint="eastAsia" w:ascii="微软雅黑" w:hAnsi="微软雅黑" w:eastAsia="微软雅黑"/>
                <w:kern w:val="0"/>
                <w:sz w:val="18"/>
                <w:szCs w:val="18"/>
                <w:lang w:val="en-US" w:bidi="ar-SA"/>
              </w:rPr>
              <w:t>在服务的有效期内应提供7×24全天候软件支持服务。软件支持服务包括设备清单内的主机软件的版本，如软件补丁、固件版本、软件版本更新等，以及这些软件的配套文档资料。</w:t>
            </w:r>
          </w:p>
          <w:p w14:paraId="604F2EAE">
            <w:pPr>
              <w:pStyle w:val="7"/>
              <w:ind w:firstLine="180"/>
              <w:rPr>
                <w:rFonts w:hint="eastAsia" w:ascii="微软雅黑" w:hAnsi="微软雅黑" w:eastAsia="微软雅黑"/>
                <w:kern w:val="0"/>
                <w:sz w:val="18"/>
                <w:szCs w:val="18"/>
                <w:lang w:val="en-US" w:bidi="ar-SA"/>
              </w:rPr>
            </w:pPr>
          </w:p>
          <w:p w14:paraId="2AA7A68B">
            <w:pPr>
              <w:pStyle w:val="7"/>
              <w:ind w:firstLine="180"/>
              <w:rPr>
                <w:rFonts w:hint="eastAsia" w:ascii="微软雅黑" w:hAnsi="微软雅黑" w:eastAsia="微软雅黑"/>
                <w:kern w:val="0"/>
                <w:sz w:val="18"/>
                <w:szCs w:val="18"/>
                <w:lang w:val="en-US" w:bidi="ar-SA"/>
              </w:rPr>
            </w:pPr>
          </w:p>
          <w:p w14:paraId="02E76893">
            <w:pPr>
              <w:widowControl/>
              <w:spacing w:line="360" w:lineRule="auto"/>
              <w:jc w:val="left"/>
              <w:rPr>
                <w:rFonts w:hint="eastAsia" w:ascii="微软雅黑" w:hAnsi="微软雅黑" w:eastAsia="微软雅黑" w:cs="宋体"/>
                <w:b/>
                <w:bCs/>
                <w:kern w:val="0"/>
                <w:sz w:val="20"/>
                <w:szCs w:val="20"/>
              </w:rPr>
            </w:pPr>
            <w:r>
              <w:rPr>
                <w:rFonts w:hint="eastAsia" w:ascii="微软雅黑" w:hAnsi="微软雅黑" w:eastAsia="微软雅黑" w:cs="宋体"/>
                <w:b/>
                <w:bCs/>
                <w:kern w:val="0"/>
                <w:sz w:val="20"/>
                <w:szCs w:val="20"/>
              </w:rPr>
              <w:t>二、设备维保清单</w:t>
            </w:r>
          </w:p>
          <w:tbl>
            <w:tblPr>
              <w:tblStyle w:val="8"/>
              <w:tblW w:w="6103" w:type="dxa"/>
              <w:tblInd w:w="0" w:type="dxa"/>
              <w:tblLayout w:type="fixed"/>
              <w:tblCellMar>
                <w:top w:w="0" w:type="dxa"/>
                <w:left w:w="108" w:type="dxa"/>
                <w:bottom w:w="0" w:type="dxa"/>
                <w:right w:w="108" w:type="dxa"/>
              </w:tblCellMar>
            </w:tblPr>
            <w:tblGrid>
              <w:gridCol w:w="751"/>
              <w:gridCol w:w="1404"/>
              <w:gridCol w:w="1872"/>
              <w:gridCol w:w="1284"/>
              <w:gridCol w:w="792"/>
            </w:tblGrid>
            <w:tr w14:paraId="4C0B8F67">
              <w:tblPrEx>
                <w:tblCellMar>
                  <w:top w:w="0" w:type="dxa"/>
                  <w:left w:w="108" w:type="dxa"/>
                  <w:bottom w:w="0" w:type="dxa"/>
                  <w:right w:w="108" w:type="dxa"/>
                </w:tblCellMar>
              </w:tblPrEx>
              <w:trPr>
                <w:trHeight w:val="840" w:hRule="atLeast"/>
              </w:trPr>
              <w:tc>
                <w:tcPr>
                  <w:tcW w:w="615"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18767087">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序号</w:t>
                  </w:r>
                </w:p>
              </w:tc>
              <w:tc>
                <w:tcPr>
                  <w:tcW w:w="1150"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451C152A">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设备大类</w:t>
                  </w:r>
                </w:p>
              </w:tc>
              <w:tc>
                <w:tcPr>
                  <w:tcW w:w="1533"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0A48D7D1">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设备类型</w:t>
                  </w:r>
                </w:p>
              </w:tc>
              <w:tc>
                <w:tcPr>
                  <w:tcW w:w="1051"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2C8DEC14">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分类</w:t>
                  </w:r>
                </w:p>
              </w:tc>
              <w:tc>
                <w:tcPr>
                  <w:tcW w:w="648"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104789B2">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数量</w:t>
                  </w:r>
                </w:p>
              </w:tc>
            </w:tr>
            <w:tr w14:paraId="3D762DC4">
              <w:tblPrEx>
                <w:tblCellMar>
                  <w:top w:w="0" w:type="dxa"/>
                  <w:left w:w="108" w:type="dxa"/>
                  <w:bottom w:w="0" w:type="dxa"/>
                  <w:right w:w="108" w:type="dxa"/>
                </w:tblCellMar>
              </w:tblPrEx>
              <w:trPr>
                <w:trHeight w:val="56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354870C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150" w:type="pct"/>
                  <w:tcBorders>
                    <w:top w:val="single" w:color="000000" w:sz="4" w:space="0"/>
                    <w:left w:val="single" w:color="000000" w:sz="4" w:space="0"/>
                    <w:bottom w:val="single" w:color="000000" w:sz="4" w:space="0"/>
                    <w:right w:val="single" w:color="000000" w:sz="4" w:space="0"/>
                  </w:tcBorders>
                  <w:vAlign w:val="center"/>
                </w:tcPr>
                <w:p w14:paraId="0FBC15F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服务器</w:t>
                  </w:r>
                </w:p>
              </w:tc>
              <w:tc>
                <w:tcPr>
                  <w:tcW w:w="1533" w:type="pct"/>
                  <w:tcBorders>
                    <w:top w:val="single" w:color="000000" w:sz="4" w:space="0"/>
                    <w:left w:val="single" w:color="000000" w:sz="4" w:space="0"/>
                    <w:bottom w:val="single" w:color="000000" w:sz="4" w:space="0"/>
                    <w:right w:val="single" w:color="000000" w:sz="4" w:space="0"/>
                  </w:tcBorders>
                  <w:vAlign w:val="center"/>
                </w:tcPr>
                <w:p w14:paraId="1B3BC61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H3C R4900G3</w:t>
                  </w:r>
                </w:p>
              </w:tc>
              <w:tc>
                <w:tcPr>
                  <w:tcW w:w="1051" w:type="pct"/>
                  <w:tcBorders>
                    <w:top w:val="single" w:color="000000" w:sz="4" w:space="0"/>
                    <w:left w:val="single" w:color="000000" w:sz="4" w:space="0"/>
                    <w:bottom w:val="single" w:color="000000" w:sz="4" w:space="0"/>
                    <w:right w:val="single" w:color="000000" w:sz="4" w:space="0"/>
                  </w:tcBorders>
                  <w:vAlign w:val="center"/>
                </w:tcPr>
                <w:p w14:paraId="5138815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服务器类</w:t>
                  </w:r>
                </w:p>
              </w:tc>
              <w:tc>
                <w:tcPr>
                  <w:tcW w:w="648" w:type="pct"/>
                  <w:tcBorders>
                    <w:top w:val="single" w:color="000000" w:sz="4" w:space="0"/>
                    <w:left w:val="single" w:color="000000" w:sz="4" w:space="0"/>
                    <w:bottom w:val="single" w:color="000000" w:sz="4" w:space="0"/>
                    <w:right w:val="single" w:color="000000" w:sz="4" w:space="0"/>
                  </w:tcBorders>
                  <w:vAlign w:val="center"/>
                </w:tcPr>
                <w:p w14:paraId="69E491A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r>
            <w:tr w14:paraId="31BC2744">
              <w:tblPrEx>
                <w:tblCellMar>
                  <w:top w:w="0" w:type="dxa"/>
                  <w:left w:w="108" w:type="dxa"/>
                  <w:bottom w:w="0" w:type="dxa"/>
                  <w:right w:w="108" w:type="dxa"/>
                </w:tblCellMar>
              </w:tblPrEx>
              <w:trPr>
                <w:trHeight w:val="56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3482F98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150" w:type="pct"/>
                  <w:tcBorders>
                    <w:top w:val="single" w:color="000000" w:sz="4" w:space="0"/>
                    <w:left w:val="single" w:color="000000" w:sz="4" w:space="0"/>
                    <w:bottom w:val="single" w:color="000000" w:sz="4" w:space="0"/>
                    <w:right w:val="single" w:color="000000" w:sz="4" w:space="0"/>
                  </w:tcBorders>
                  <w:vAlign w:val="center"/>
                </w:tcPr>
                <w:p w14:paraId="1AACF93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服务器</w:t>
                  </w:r>
                </w:p>
              </w:tc>
              <w:tc>
                <w:tcPr>
                  <w:tcW w:w="1533" w:type="pct"/>
                  <w:tcBorders>
                    <w:top w:val="single" w:color="000000" w:sz="4" w:space="0"/>
                    <w:left w:val="single" w:color="000000" w:sz="4" w:space="0"/>
                    <w:bottom w:val="single" w:color="000000" w:sz="4" w:space="0"/>
                    <w:right w:val="single" w:color="000000" w:sz="4" w:space="0"/>
                  </w:tcBorders>
                  <w:vAlign w:val="center"/>
                </w:tcPr>
                <w:p w14:paraId="2CE4D7B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华为 2288H V5</w:t>
                  </w:r>
                </w:p>
              </w:tc>
              <w:tc>
                <w:tcPr>
                  <w:tcW w:w="1051" w:type="pct"/>
                  <w:tcBorders>
                    <w:top w:val="single" w:color="000000" w:sz="4" w:space="0"/>
                    <w:left w:val="single" w:color="000000" w:sz="4" w:space="0"/>
                    <w:bottom w:val="single" w:color="000000" w:sz="4" w:space="0"/>
                    <w:right w:val="single" w:color="000000" w:sz="4" w:space="0"/>
                  </w:tcBorders>
                  <w:vAlign w:val="center"/>
                </w:tcPr>
                <w:p w14:paraId="2531ED9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服务器类</w:t>
                  </w:r>
                </w:p>
              </w:tc>
              <w:tc>
                <w:tcPr>
                  <w:tcW w:w="648" w:type="pct"/>
                  <w:tcBorders>
                    <w:top w:val="single" w:color="000000" w:sz="4" w:space="0"/>
                    <w:left w:val="single" w:color="000000" w:sz="4" w:space="0"/>
                    <w:bottom w:val="single" w:color="000000" w:sz="4" w:space="0"/>
                    <w:right w:val="single" w:color="000000" w:sz="4" w:space="0"/>
                  </w:tcBorders>
                  <w:vAlign w:val="center"/>
                </w:tcPr>
                <w:p w14:paraId="35252BC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r>
            <w:tr w14:paraId="3C80D8D0">
              <w:tblPrEx>
                <w:tblCellMar>
                  <w:top w:w="0" w:type="dxa"/>
                  <w:left w:w="108" w:type="dxa"/>
                  <w:bottom w:w="0" w:type="dxa"/>
                  <w:right w:w="108" w:type="dxa"/>
                </w:tblCellMar>
              </w:tblPrEx>
              <w:trPr>
                <w:trHeight w:val="84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583D072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150" w:type="pct"/>
                  <w:tcBorders>
                    <w:top w:val="single" w:color="000000" w:sz="4" w:space="0"/>
                    <w:left w:val="single" w:color="000000" w:sz="4" w:space="0"/>
                    <w:bottom w:val="single" w:color="000000" w:sz="4" w:space="0"/>
                    <w:right w:val="single" w:color="000000" w:sz="4" w:space="0"/>
                  </w:tcBorders>
                  <w:vAlign w:val="center"/>
                </w:tcPr>
                <w:p w14:paraId="6AA3CBD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存储</w:t>
                  </w:r>
                </w:p>
              </w:tc>
              <w:tc>
                <w:tcPr>
                  <w:tcW w:w="1533" w:type="pct"/>
                  <w:tcBorders>
                    <w:top w:val="single" w:color="000000" w:sz="4" w:space="0"/>
                    <w:left w:val="single" w:color="000000" w:sz="4" w:space="0"/>
                    <w:bottom w:val="single" w:color="000000" w:sz="4" w:space="0"/>
                    <w:right w:val="single" w:color="000000" w:sz="4" w:space="0"/>
                  </w:tcBorders>
                  <w:vAlign w:val="center"/>
                </w:tcPr>
                <w:p w14:paraId="2FAC4B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华为 Oceanstor 5500v6</w:t>
                  </w:r>
                </w:p>
              </w:tc>
              <w:tc>
                <w:tcPr>
                  <w:tcW w:w="1051" w:type="pct"/>
                  <w:tcBorders>
                    <w:top w:val="single" w:color="000000" w:sz="4" w:space="0"/>
                    <w:left w:val="single" w:color="000000" w:sz="4" w:space="0"/>
                    <w:bottom w:val="single" w:color="000000" w:sz="4" w:space="0"/>
                    <w:right w:val="single" w:color="000000" w:sz="4" w:space="0"/>
                  </w:tcBorders>
                  <w:vAlign w:val="center"/>
                </w:tcPr>
                <w:p w14:paraId="60C6D11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服务器类</w:t>
                  </w:r>
                </w:p>
              </w:tc>
              <w:tc>
                <w:tcPr>
                  <w:tcW w:w="648" w:type="pct"/>
                  <w:tcBorders>
                    <w:top w:val="single" w:color="000000" w:sz="4" w:space="0"/>
                    <w:left w:val="single" w:color="000000" w:sz="4" w:space="0"/>
                    <w:bottom w:val="single" w:color="000000" w:sz="4" w:space="0"/>
                    <w:right w:val="single" w:color="000000" w:sz="4" w:space="0"/>
                  </w:tcBorders>
                  <w:vAlign w:val="center"/>
                </w:tcPr>
                <w:p w14:paraId="644486F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r>
            <w:tr w14:paraId="5CEB65EF">
              <w:tblPrEx>
                <w:tblCellMar>
                  <w:top w:w="0" w:type="dxa"/>
                  <w:left w:w="108" w:type="dxa"/>
                  <w:bottom w:w="0" w:type="dxa"/>
                  <w:right w:w="108" w:type="dxa"/>
                </w:tblCellMar>
              </w:tblPrEx>
              <w:trPr>
                <w:trHeight w:val="84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6FC2DAB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1150" w:type="pct"/>
                  <w:tcBorders>
                    <w:top w:val="single" w:color="000000" w:sz="4" w:space="0"/>
                    <w:left w:val="single" w:color="000000" w:sz="4" w:space="0"/>
                    <w:bottom w:val="single" w:color="000000" w:sz="4" w:space="0"/>
                    <w:right w:val="single" w:color="000000" w:sz="4" w:space="0"/>
                  </w:tcBorders>
                  <w:vAlign w:val="center"/>
                </w:tcPr>
                <w:p w14:paraId="5EEE54C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虚拟化软件</w:t>
                  </w:r>
                </w:p>
              </w:tc>
              <w:tc>
                <w:tcPr>
                  <w:tcW w:w="1533" w:type="pct"/>
                  <w:tcBorders>
                    <w:top w:val="single" w:color="000000" w:sz="4" w:space="0"/>
                    <w:left w:val="single" w:color="000000" w:sz="4" w:space="0"/>
                    <w:bottom w:val="single" w:color="000000" w:sz="4" w:space="0"/>
                    <w:right w:val="single" w:color="000000" w:sz="4" w:space="0"/>
                  </w:tcBorders>
                  <w:vAlign w:val="center"/>
                </w:tcPr>
                <w:p w14:paraId="109BE9F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华为 FusionCompute</w:t>
                  </w:r>
                </w:p>
              </w:tc>
              <w:tc>
                <w:tcPr>
                  <w:tcW w:w="1051" w:type="pct"/>
                  <w:tcBorders>
                    <w:top w:val="single" w:color="000000" w:sz="4" w:space="0"/>
                    <w:left w:val="single" w:color="000000" w:sz="4" w:space="0"/>
                    <w:bottom w:val="single" w:color="000000" w:sz="4" w:space="0"/>
                    <w:right w:val="single" w:color="000000" w:sz="4" w:space="0"/>
                  </w:tcBorders>
                  <w:vAlign w:val="center"/>
                </w:tcPr>
                <w:p w14:paraId="5311A09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虚拟化类</w:t>
                  </w:r>
                </w:p>
              </w:tc>
              <w:tc>
                <w:tcPr>
                  <w:tcW w:w="648" w:type="pct"/>
                  <w:tcBorders>
                    <w:top w:val="single" w:color="000000" w:sz="4" w:space="0"/>
                    <w:left w:val="single" w:color="000000" w:sz="4" w:space="0"/>
                    <w:bottom w:val="single" w:color="000000" w:sz="4" w:space="0"/>
                    <w:right w:val="single" w:color="000000" w:sz="4" w:space="0"/>
                  </w:tcBorders>
                  <w:vAlign w:val="center"/>
                </w:tcPr>
                <w:p w14:paraId="74AE591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r>
            <w:tr w14:paraId="585799F2">
              <w:tblPrEx>
                <w:tblCellMar>
                  <w:top w:w="0" w:type="dxa"/>
                  <w:left w:w="108" w:type="dxa"/>
                  <w:bottom w:w="0" w:type="dxa"/>
                  <w:right w:w="108" w:type="dxa"/>
                </w:tblCellMar>
              </w:tblPrEx>
              <w:trPr>
                <w:trHeight w:val="56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18E578D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1150" w:type="pct"/>
                  <w:tcBorders>
                    <w:top w:val="single" w:color="000000" w:sz="4" w:space="0"/>
                    <w:left w:val="single" w:color="000000" w:sz="4" w:space="0"/>
                    <w:bottom w:val="single" w:color="000000" w:sz="4" w:space="0"/>
                    <w:right w:val="single" w:color="000000" w:sz="4" w:space="0"/>
                  </w:tcBorders>
                  <w:vAlign w:val="center"/>
                </w:tcPr>
                <w:p w14:paraId="673F433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机柜</w:t>
                  </w:r>
                </w:p>
              </w:tc>
              <w:tc>
                <w:tcPr>
                  <w:tcW w:w="1533" w:type="pct"/>
                  <w:tcBorders>
                    <w:top w:val="single" w:color="000000" w:sz="4" w:space="0"/>
                    <w:left w:val="single" w:color="000000" w:sz="4" w:space="0"/>
                    <w:bottom w:val="single" w:color="000000" w:sz="4" w:space="0"/>
                    <w:right w:val="single" w:color="000000" w:sz="4" w:space="0"/>
                  </w:tcBorders>
                  <w:vAlign w:val="center"/>
                </w:tcPr>
                <w:p w14:paraId="3463592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模块化机柜</w:t>
                  </w:r>
                </w:p>
              </w:tc>
              <w:tc>
                <w:tcPr>
                  <w:tcW w:w="1051" w:type="pct"/>
                  <w:tcBorders>
                    <w:top w:val="single" w:color="000000" w:sz="4" w:space="0"/>
                    <w:left w:val="single" w:color="000000" w:sz="4" w:space="0"/>
                    <w:bottom w:val="single" w:color="000000" w:sz="4" w:space="0"/>
                    <w:right w:val="single" w:color="000000" w:sz="4" w:space="0"/>
                  </w:tcBorders>
                  <w:vAlign w:val="center"/>
                </w:tcPr>
                <w:p w14:paraId="2C1C187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微模块</w:t>
                  </w:r>
                </w:p>
              </w:tc>
              <w:tc>
                <w:tcPr>
                  <w:tcW w:w="648" w:type="pct"/>
                  <w:tcBorders>
                    <w:top w:val="single" w:color="000000" w:sz="4" w:space="0"/>
                    <w:left w:val="single" w:color="000000" w:sz="4" w:space="0"/>
                    <w:bottom w:val="single" w:color="000000" w:sz="4" w:space="0"/>
                    <w:right w:val="single" w:color="000000" w:sz="4" w:space="0"/>
                  </w:tcBorders>
                  <w:vAlign w:val="center"/>
                </w:tcPr>
                <w:p w14:paraId="075C78D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24</w:t>
                  </w:r>
                </w:p>
              </w:tc>
            </w:tr>
            <w:tr w14:paraId="0D3ADAED">
              <w:tblPrEx>
                <w:tblCellMar>
                  <w:top w:w="0" w:type="dxa"/>
                  <w:left w:w="108" w:type="dxa"/>
                  <w:bottom w:w="0" w:type="dxa"/>
                  <w:right w:w="108" w:type="dxa"/>
                </w:tblCellMar>
              </w:tblPrEx>
              <w:trPr>
                <w:trHeight w:val="56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14F2D8F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1150" w:type="pct"/>
                  <w:tcBorders>
                    <w:top w:val="single" w:color="000000" w:sz="4" w:space="0"/>
                    <w:left w:val="single" w:color="000000" w:sz="4" w:space="0"/>
                    <w:bottom w:val="single" w:color="000000" w:sz="4" w:space="0"/>
                    <w:right w:val="single" w:color="000000" w:sz="4" w:space="0"/>
                  </w:tcBorders>
                  <w:vAlign w:val="center"/>
                </w:tcPr>
                <w:p w14:paraId="345156D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空调</w:t>
                  </w:r>
                </w:p>
              </w:tc>
              <w:tc>
                <w:tcPr>
                  <w:tcW w:w="1533" w:type="pct"/>
                  <w:tcBorders>
                    <w:top w:val="single" w:color="000000" w:sz="4" w:space="0"/>
                    <w:left w:val="single" w:color="000000" w:sz="4" w:space="0"/>
                    <w:bottom w:val="single" w:color="000000" w:sz="4" w:space="0"/>
                    <w:right w:val="single" w:color="000000" w:sz="4" w:space="0"/>
                  </w:tcBorders>
                  <w:vAlign w:val="center"/>
                </w:tcPr>
                <w:p w14:paraId="2147023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模块化空调</w:t>
                  </w:r>
                </w:p>
              </w:tc>
              <w:tc>
                <w:tcPr>
                  <w:tcW w:w="1051" w:type="pct"/>
                  <w:tcBorders>
                    <w:top w:val="single" w:color="000000" w:sz="4" w:space="0"/>
                    <w:left w:val="single" w:color="000000" w:sz="4" w:space="0"/>
                    <w:bottom w:val="single" w:color="000000" w:sz="4" w:space="0"/>
                    <w:right w:val="single" w:color="000000" w:sz="4" w:space="0"/>
                  </w:tcBorders>
                  <w:vAlign w:val="center"/>
                </w:tcPr>
                <w:p w14:paraId="3B36680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微模块</w:t>
                  </w:r>
                </w:p>
              </w:tc>
              <w:tc>
                <w:tcPr>
                  <w:tcW w:w="648" w:type="pct"/>
                  <w:tcBorders>
                    <w:top w:val="single" w:color="000000" w:sz="4" w:space="0"/>
                    <w:left w:val="single" w:color="000000" w:sz="4" w:space="0"/>
                    <w:bottom w:val="single" w:color="000000" w:sz="4" w:space="0"/>
                    <w:right w:val="single" w:color="000000" w:sz="4" w:space="0"/>
                  </w:tcBorders>
                  <w:vAlign w:val="center"/>
                </w:tcPr>
                <w:p w14:paraId="3BB86BC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r>
            <w:tr w14:paraId="3F795308">
              <w:tblPrEx>
                <w:tblCellMar>
                  <w:top w:w="0" w:type="dxa"/>
                  <w:left w:w="108" w:type="dxa"/>
                  <w:bottom w:w="0" w:type="dxa"/>
                  <w:right w:w="108" w:type="dxa"/>
                </w:tblCellMar>
              </w:tblPrEx>
              <w:trPr>
                <w:trHeight w:val="560" w:hRule="atLeast"/>
              </w:trPr>
              <w:tc>
                <w:tcPr>
                  <w:tcW w:w="615" w:type="pct"/>
                  <w:tcBorders>
                    <w:top w:val="single" w:color="000000" w:sz="4" w:space="0"/>
                    <w:left w:val="single" w:color="000000" w:sz="4" w:space="0"/>
                    <w:bottom w:val="single" w:color="000000" w:sz="4" w:space="0"/>
                    <w:right w:val="single" w:color="000000" w:sz="4" w:space="0"/>
                  </w:tcBorders>
                  <w:noWrap/>
                  <w:vAlign w:val="center"/>
                </w:tcPr>
                <w:p w14:paraId="3E670B9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c>
                <w:tcPr>
                  <w:tcW w:w="1150" w:type="pct"/>
                  <w:tcBorders>
                    <w:top w:val="single" w:color="000000" w:sz="4" w:space="0"/>
                    <w:left w:val="single" w:color="000000" w:sz="4" w:space="0"/>
                    <w:bottom w:val="single" w:color="000000" w:sz="4" w:space="0"/>
                    <w:right w:val="single" w:color="000000" w:sz="4" w:space="0"/>
                  </w:tcBorders>
                  <w:vAlign w:val="center"/>
                </w:tcPr>
                <w:p w14:paraId="20AEC5F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列头柜</w:t>
                  </w:r>
                </w:p>
              </w:tc>
              <w:tc>
                <w:tcPr>
                  <w:tcW w:w="1533" w:type="pct"/>
                  <w:tcBorders>
                    <w:top w:val="single" w:color="000000" w:sz="4" w:space="0"/>
                    <w:left w:val="single" w:color="000000" w:sz="4" w:space="0"/>
                    <w:bottom w:val="single" w:color="000000" w:sz="4" w:space="0"/>
                    <w:right w:val="single" w:color="000000" w:sz="4" w:space="0"/>
                  </w:tcBorders>
                  <w:vAlign w:val="center"/>
                </w:tcPr>
                <w:p w14:paraId="5BFDB96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模块化列头柜</w:t>
                  </w:r>
                </w:p>
              </w:tc>
              <w:tc>
                <w:tcPr>
                  <w:tcW w:w="1051" w:type="pct"/>
                  <w:tcBorders>
                    <w:top w:val="single" w:color="000000" w:sz="4" w:space="0"/>
                    <w:left w:val="single" w:color="000000" w:sz="4" w:space="0"/>
                    <w:bottom w:val="single" w:color="000000" w:sz="4" w:space="0"/>
                    <w:right w:val="single" w:color="000000" w:sz="4" w:space="0"/>
                  </w:tcBorders>
                  <w:vAlign w:val="center"/>
                </w:tcPr>
                <w:p w14:paraId="57E8CAE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微模块</w:t>
                  </w:r>
                </w:p>
              </w:tc>
              <w:tc>
                <w:tcPr>
                  <w:tcW w:w="648" w:type="pct"/>
                  <w:tcBorders>
                    <w:top w:val="single" w:color="000000" w:sz="4" w:space="0"/>
                    <w:left w:val="single" w:color="000000" w:sz="4" w:space="0"/>
                    <w:bottom w:val="single" w:color="000000" w:sz="4" w:space="0"/>
                    <w:right w:val="single" w:color="000000" w:sz="4" w:space="0"/>
                  </w:tcBorders>
                  <w:vAlign w:val="center"/>
                </w:tcPr>
                <w:p w14:paraId="7865F1D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r>
          </w:tbl>
          <w:p w14:paraId="22D0BBD6">
            <w:pPr>
              <w:pStyle w:val="7"/>
              <w:ind w:firstLine="0" w:firstLineChars="0"/>
              <w:rPr>
                <w:lang w:val="en-US" w:bidi="ar-SA"/>
              </w:rPr>
            </w:pPr>
          </w:p>
        </w:tc>
        <w:tc>
          <w:tcPr>
            <w:tcW w:w="379" w:type="pct"/>
            <w:tcBorders>
              <w:top w:val="single" w:color="auto" w:sz="4" w:space="0"/>
              <w:left w:val="nil"/>
              <w:bottom w:val="single" w:color="000000" w:sz="4" w:space="0"/>
              <w:right w:val="single" w:color="000000" w:sz="4" w:space="0"/>
            </w:tcBorders>
            <w:noWrap/>
            <w:vAlign w:val="center"/>
          </w:tcPr>
          <w:p w14:paraId="571B3963">
            <w:pPr>
              <w:widowControl/>
              <w:jc w:val="center"/>
              <w:rPr>
                <w:rFonts w:hint="eastAsia" w:ascii="微软雅黑" w:hAnsi="微软雅黑" w:eastAsia="微软雅黑" w:cs="宋体"/>
                <w:kern w:val="0"/>
                <w:sz w:val="18"/>
                <w:szCs w:val="18"/>
              </w:rPr>
            </w:pPr>
            <w:r>
              <w:rPr>
                <w:rFonts w:ascii="微软雅黑" w:hAnsi="微软雅黑" w:eastAsia="微软雅黑" w:cs="宋体"/>
                <w:kern w:val="0"/>
                <w:sz w:val="18"/>
                <w:szCs w:val="18"/>
              </w:rPr>
              <w:t>1</w:t>
            </w:r>
          </w:p>
        </w:tc>
      </w:tr>
    </w:tbl>
    <w:p w14:paraId="7D3B72C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EE33AE-C6BE-4FDF-A27A-92D357CD10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06D5800-9A70-4609-AC2D-AC12B1ADAE91}"/>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98AAE415-8DC4-4EA8-BAA8-CE2F643C9905}"/>
  </w:font>
  <w:font w:name="仿宋_GB2312">
    <w:panose1 w:val="02010609030101010101"/>
    <w:charset w:val="86"/>
    <w:family w:val="auto"/>
    <w:pitch w:val="default"/>
    <w:sig w:usb0="00000001" w:usb1="080E0000" w:usb2="00000000" w:usb3="00000000" w:csb0="00040000" w:csb1="00000000"/>
    <w:embedRegular r:id="rId4" w:fontKey="{6D6E6399-FE03-49B5-AF71-FB0637B81799}"/>
  </w:font>
  <w:font w:name="微软雅黑">
    <w:panose1 w:val="020B0503020204020204"/>
    <w:charset w:val="86"/>
    <w:family w:val="swiss"/>
    <w:pitch w:val="default"/>
    <w:sig w:usb0="80000287" w:usb1="2ACF3C50" w:usb2="00000016" w:usb3="00000000" w:csb0="0004001F" w:csb1="00000000"/>
    <w:embedRegular r:id="rId5" w:fontKey="{C83F0659-1A36-408E-9CA9-B51FE299C9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
    <w:nsid w:val="78A3DF22"/>
    <w:multiLevelType w:val="singleLevel"/>
    <w:tmpl w:val="78A3DF22"/>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62482"/>
    <w:rsid w:val="00020CAD"/>
    <w:rsid w:val="000E1E20"/>
    <w:rsid w:val="00191C44"/>
    <w:rsid w:val="002B29B6"/>
    <w:rsid w:val="005A6C38"/>
    <w:rsid w:val="00760D99"/>
    <w:rsid w:val="00787FC2"/>
    <w:rsid w:val="00877F51"/>
    <w:rsid w:val="00952317"/>
    <w:rsid w:val="00B14492"/>
    <w:rsid w:val="00C53EBD"/>
    <w:rsid w:val="00CB13B9"/>
    <w:rsid w:val="00CD4E84"/>
    <w:rsid w:val="00E87734"/>
    <w:rsid w:val="00F341E8"/>
    <w:rsid w:val="022330A2"/>
    <w:rsid w:val="0B204A2F"/>
    <w:rsid w:val="1C7E2C05"/>
    <w:rsid w:val="258424AE"/>
    <w:rsid w:val="28983E1D"/>
    <w:rsid w:val="2A862482"/>
    <w:rsid w:val="2B534AEB"/>
    <w:rsid w:val="3AD23DF4"/>
    <w:rsid w:val="3C5A3D43"/>
    <w:rsid w:val="45733779"/>
    <w:rsid w:val="47160F4D"/>
    <w:rsid w:val="4A606EB7"/>
    <w:rsid w:val="4AB956AF"/>
    <w:rsid w:val="4CBA7ABD"/>
    <w:rsid w:val="524F7FA4"/>
    <w:rsid w:val="58BD4697"/>
    <w:rsid w:val="5F0042B9"/>
    <w:rsid w:val="700D06A2"/>
    <w:rsid w:val="75864A53"/>
    <w:rsid w:val="75B56170"/>
    <w:rsid w:val="7AD32427"/>
    <w:rsid w:val="7F732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3">
    <w:name w:val="annotation text"/>
    <w:basedOn w:val="1"/>
    <w:qFormat/>
    <w:uiPriority w:val="0"/>
    <w:pPr>
      <w:jc w:val="left"/>
    </w:pPr>
  </w:style>
  <w:style w:type="paragraph" w:styleId="4">
    <w:name w:val="Body Text"/>
    <w:basedOn w:val="1"/>
    <w:qFormat/>
    <w:uiPriority w:val="1"/>
    <w:rPr>
      <w:rFonts w:ascii="宋体" w:hAnsi="宋体" w:cs="宋体"/>
      <w:szCs w:val="21"/>
      <w:lang w:val="zh-CN" w:bidi="zh-CN"/>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tabs>
        <w:tab w:val="center" w:pos="4153"/>
        <w:tab w:val="right" w:pos="8306"/>
      </w:tabs>
      <w:snapToGrid w:val="0"/>
      <w:jc w:val="center"/>
    </w:pPr>
    <w:rPr>
      <w:sz w:val="18"/>
      <w:szCs w:val="18"/>
    </w:rPr>
  </w:style>
  <w:style w:type="paragraph" w:styleId="7">
    <w:name w:val="Body Text First Indent"/>
    <w:basedOn w:val="4"/>
    <w:qFormat/>
    <w:uiPriority w:val="0"/>
    <w:pPr>
      <w:ind w:firstLine="420" w:firstLineChars="100"/>
    </w:pPr>
    <w:rPr>
      <w:rFonts w:ascii="Times New Roman" w:hAnsi="Times New Roman"/>
    </w:rPr>
  </w:style>
  <w:style w:type="character" w:customStyle="1" w:styleId="10">
    <w:name w:val="页眉 字符"/>
    <w:basedOn w:val="9"/>
    <w:link w:val="6"/>
    <w:qFormat/>
    <w:uiPriority w:val="0"/>
    <w:rPr>
      <w:rFonts w:ascii="Times New Roman" w:hAnsi="Times New Roman" w:eastAsia="宋体" w:cs="Times New Roman"/>
      <w:kern w:val="2"/>
      <w:sz w:val="18"/>
      <w:szCs w:val="18"/>
    </w:rPr>
  </w:style>
  <w:style w:type="character" w:customStyle="1" w:styleId="11">
    <w:name w:val="页脚 字符"/>
    <w:basedOn w:val="9"/>
    <w:link w:val="5"/>
    <w:qFormat/>
    <w:uiPriority w:val="0"/>
    <w:rPr>
      <w:rFonts w:ascii="Times New Roman" w:hAnsi="Times New Roman" w:eastAsia="宋体" w:cs="Times New Roman"/>
      <w:kern w:val="2"/>
      <w:sz w:val="18"/>
      <w:szCs w:val="18"/>
    </w:rPr>
  </w:style>
  <w:style w:type="paragraph" w:customStyle="1" w:styleId="12">
    <w:name w:val="null3"/>
    <w:hidden/>
    <w:qFormat/>
    <w:uiPriority w:val="0"/>
    <w:pPr>
      <w:spacing w:after="0" w:line="240" w:lineRule="auto"/>
    </w:pPr>
    <w:rPr>
      <w:rFonts w:hint="eastAsia" w:ascii="等线" w:hAnsi="等线" w:eastAsia="等线" w:cs="Times New Roman"/>
      <w:kern w:val="0"/>
      <w:sz w:val="20"/>
      <w:szCs w:val="20"/>
      <w:lang w:val="en-US" w:eastAsia="zh-Hans" w:bidi="ar-SA"/>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85b1e6be-937e-4b93-a3f7-7d410d235229</errorID>
      <errorWord>的</errorWord>
      <group>L1_Word</group>
      <groupName>字词问题</groupName>
      <ability>L2_Typo</ability>
      <abilityName>字词错误</abilityName>
      <candidateList>
        <item>地</item>
      </candidateList>
      <explain/>
      <paraID>7810186F</paraID>
      <start>69</start>
      <end>70</end>
      <status>unmodified</status>
      <modifiedWord/>
      <trackRevisions>false</trackRevisions>
    </reviewItem>
    <reviewItem>
      <errorID>e1076e01-4ad8-4034-9bf9-fe366546b192</errorID>
      <errorWord>采购人</errorWord>
      <group>L1_Word</group>
      <groupName>字词问题</groupName>
      <ability>L2_Typo</ability>
      <abilityName>字词错误</abilityName>
      <candidateList>
        <item>采购</item>
      </candidateList>
      <explain/>
      <paraID>7AB24F08</paraID>
      <start>44</start>
      <end>47</end>
      <status>unmodified</status>
      <modifiedWord/>
      <trackRevisions>false</trackRevisions>
    </reviewItem>
    <reviewItem>
      <errorID>4688cc7f-4bd4-4458-9df7-0970e2ed722b</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34D80F41</paraID>
      <start>72</start>
      <end>75</end>
      <status>unmodified</status>
      <modifiedWord/>
      <trackRevisions>false</trackRevisions>
    </reviewItem>
    <reviewItem>
      <errorID>aee32b27-e249-418b-bb25-61dc30a4a31d</errorID>
      <errorWord>设备安排和</errorWord>
      <group>L1_Grammar</group>
      <groupName>语法问题</groupName>
      <ability>L2_Grammar</ability>
      <abilityName>语法错误</abilityName>
      <candidateList>
        <item>设备</item>
      </candidateList>
      <explain/>
      <paraID>2A5E93D8</paraID>
      <start>20</start>
      <end>25</end>
      <status>unmodified</status>
      <modifiedWord/>
      <trackRevisions>false</trackRevisions>
    </reviewItem>
    <reviewItem>
      <errorID>bc07a68f-6b12-475a-832e-6347d73baf48</errorID>
      <errorWord>常规</errorWord>
      <group>L1_Grammar</group>
      <groupName>语法问题</groupName>
      <ability>L2_Grammar</ability>
      <abilityName>语法错误</abilityName>
      <candidateList>
        <item>包括常规</item>
      </candidateList>
      <explain/>
      <paraID>2A5E93D8</paraID>
      <start>37</start>
      <end>39</end>
      <status>unmodified</status>
      <modifiedWord/>
      <trackRevisions>false</trackRevisions>
    </reviewItem>
    <reviewItem>
      <errorID>25a708a2-d277-43fc-97ab-20fc9502adcd</errorID>
      <errorWord>的</errorWord>
      <group>L1_Word</group>
      <groupName>字词问题</groupName>
      <ability>L2_DDD</ability>
      <abilityName>的地得用法</abilityName>
      <candidateList>
        <item>地</item>
      </candidateList>
      <explain/>
      <paraID>2A5E93D8</paraID>
      <start>160</start>
      <end>162</end>
      <status>modified</status>
      <modifiedWord>地</modifiedWord>
      <trackRevisions>true</trackRevisions>
    </reviewItem>
    <reviewItem>
      <errorID>58e3d0e4-6f0f-4dca-b2bd-c48ade65780f</errorID>
      <errorWord>告警</errorWord>
      <group>L1_Word</group>
      <groupName>字词问题</groupName>
      <ability>L2_Typo</ability>
      <abilityName>字词错误</abilityName>
      <candidateList>
        <item>的告警</item>
      </candidateList>
      <explain/>
      <paraID>2A5E93D8</paraID>
      <start>218</start>
      <end>220</end>
      <status>unmodified</status>
      <modifiedWord/>
      <trackRevisions>false</trackRevisions>
    </reviewItem>
    <reviewItem>
      <errorID>195c7b1e-f237-4917-a467-a4401a7f53c5</errorID>
      <errorWord>华为 Oceanstor 5500v6</errorWord>
      <group>L1_Other</group>
      <groupName>其他问题</groupName>
      <ability>L2_Consistency</ability>
      <abilityName>一致性检查</abilityName>
      <candidateList>
        <item>华为 OceanStor 5500V6</item>
      </candidateList>
      <explain>实体一致性，设备型号名称拼写不一致，符合华为存储官方型号命名规范且与后文华为品牌型号的大小写格式统一</explain>
      <paraID>7737DF89</paraID>
      <start>0</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db19bfe2-420e-4c01-a778-2dc638e90d38}">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1393</Words>
  <Characters>1481</Characters>
  <Lines>8</Lines>
  <Paragraphs>2</Paragraphs>
  <TotalTime>1</TotalTime>
  <ScaleCrop>false</ScaleCrop>
  <LinksUpToDate>false</LinksUpToDate>
  <CharactersWithSpaces>1498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2026-05-13T07:50:00Z</dcterms:created>
  <dc:creator>骑猪去兜风</dc:creator>
  <cp:lastModifiedBy>我爱熊猫</cp:lastModifiedBy>
  <dcterms:modified xsi:type="dcterms:W3CDTF">2026-08-12T00:49:18Z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F8B839FF307A459EA20CC93ABE2C79B8</vt:lpwstr>
  </property>
  <property fmtid="{D5CDD505-2E9C-101B-9397-08002B2CF9AE}" pid="4" name="KSOTemplateDocerSaveRecord">
    <vt:lpwstr>eyJoZGlkIjoiYzRlYzk2ZGE4ZTc3YmQ2YzUwOTE0NThjY2Q0NjA3YjEiLCJ1c2VySWQiOiIyMzc0MzQyMjEifQ==</vt:lpwstr>
  </property>
</Properties>
</file>