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1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1"/>
        <w:gridCol w:w="475"/>
        <w:gridCol w:w="800"/>
        <w:gridCol w:w="6528"/>
        <w:gridCol w:w="728"/>
      </w:tblGrid>
      <w:tr w14:paraId="16BE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9112" w:type="dxa"/>
            <w:gridSpan w:val="5"/>
            <w:tcBorders>
              <w:top w:val="single" w:color="000000" w:sz="8" w:space="0"/>
              <w:left w:val="single" w:color="000000" w:sz="8" w:space="0"/>
              <w:bottom w:val="nil"/>
              <w:right w:val="single" w:color="000000" w:sz="4" w:space="0"/>
            </w:tcBorders>
            <w:noWrap/>
            <w:vAlign w:val="center"/>
          </w:tcPr>
          <w:p w14:paraId="168477AA">
            <w:pPr>
              <w:keepNext w:val="0"/>
              <w:keepLines w:val="0"/>
              <w:widowControl/>
              <w:suppressLineNumbers w:val="0"/>
              <w:jc w:val="center"/>
              <w:textAlignment w:val="center"/>
              <w:rPr>
                <w:rFonts w:hint="default" w:ascii="微软雅黑" w:hAnsi="微软雅黑" w:eastAsia="微软雅黑" w:cs="微软雅黑"/>
                <w:b/>
                <w:bCs/>
                <w:i w:val="0"/>
                <w:iCs w:val="0"/>
                <w:color w:val="000000"/>
                <w:kern w:val="0"/>
                <w:sz w:val="20"/>
                <w:szCs w:val="20"/>
                <w:u w:val="none"/>
                <w:lang w:val="en-US" w:eastAsia="zh-CN" w:bidi="ar"/>
              </w:rPr>
            </w:pPr>
            <w:bookmarkStart w:id="0" w:name="_GoBack"/>
            <w:r>
              <w:rPr>
                <w:rFonts w:hint="eastAsia" w:ascii="微软雅黑" w:hAnsi="微软雅黑" w:eastAsia="微软雅黑" w:cs="微软雅黑"/>
                <w:b/>
                <w:bCs/>
                <w:i w:val="0"/>
                <w:iCs w:val="0"/>
                <w:color w:val="000000"/>
                <w:kern w:val="0"/>
                <w:sz w:val="20"/>
                <w:szCs w:val="20"/>
                <w:u w:val="none"/>
                <w:lang w:val="en-US" w:eastAsia="zh-CN" w:bidi="ar"/>
              </w:rPr>
              <w:t>电子屏技术参数及商务要求</w:t>
            </w:r>
            <w:bookmarkEnd w:id="0"/>
          </w:p>
        </w:tc>
      </w:tr>
      <w:tr w14:paraId="3AF0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9112" w:type="dxa"/>
            <w:gridSpan w:val="5"/>
            <w:tcBorders>
              <w:top w:val="single" w:color="000000" w:sz="8" w:space="0"/>
              <w:left w:val="single" w:color="000000" w:sz="8" w:space="0"/>
              <w:bottom w:val="nil"/>
              <w:right w:val="single" w:color="000000" w:sz="4" w:space="0"/>
            </w:tcBorders>
            <w:noWrap/>
            <w:vAlign w:val="center"/>
          </w:tcPr>
          <w:p w14:paraId="7DA82217">
            <w:pPr>
              <w:keepNext w:val="0"/>
              <w:keepLines w:val="0"/>
              <w:widowControl/>
              <w:suppressLineNumbers w:val="0"/>
              <w:jc w:val="left"/>
              <w:textAlignment w:val="center"/>
              <w:rPr>
                <w:rFonts w:hint="default" w:ascii="微软雅黑" w:hAnsi="微软雅黑" w:eastAsia="微软雅黑" w:cs="微软雅黑"/>
                <w:b/>
                <w:bCs/>
                <w:i w:val="0"/>
                <w:iCs w:val="0"/>
                <w:color w:val="000000"/>
                <w:kern w:val="0"/>
                <w:sz w:val="20"/>
                <w:szCs w:val="20"/>
                <w:u w:val="none"/>
                <w:lang w:val="en-US" w:eastAsia="zh-CN" w:bidi="ar"/>
              </w:rPr>
            </w:pPr>
            <w:r>
              <w:rPr>
                <w:rFonts w:hint="eastAsia" w:ascii="微软雅黑" w:hAnsi="微软雅黑" w:eastAsia="微软雅黑" w:cs="微软雅黑"/>
                <w:b/>
                <w:bCs/>
                <w:i w:val="0"/>
                <w:iCs w:val="0"/>
                <w:color w:val="000000"/>
                <w:kern w:val="0"/>
                <w:sz w:val="20"/>
                <w:szCs w:val="20"/>
                <w:u w:val="none"/>
                <w:lang w:val="en-US" w:eastAsia="zh-CN" w:bidi="ar"/>
              </w:rPr>
              <w:t>安装尺寸：因现场安装尺寸受限，需满足以下尺寸要求</w:t>
            </w:r>
          </w:p>
          <w:tbl>
            <w:tblPr>
              <w:tblStyle w:val="4"/>
              <w:tblW w:w="8797"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47"/>
              <w:gridCol w:w="2987"/>
              <w:gridCol w:w="1473"/>
              <w:gridCol w:w="1374"/>
              <w:gridCol w:w="1516"/>
            </w:tblGrid>
            <w:tr w14:paraId="50D49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447" w:type="dxa"/>
                  <w:vMerge w:val="restart"/>
                  <w:tcBorders>
                    <w:top w:val="single" w:color="auto" w:sz="4" w:space="0"/>
                    <w:left w:val="single" w:color="000000" w:sz="4" w:space="0"/>
                    <w:bottom w:val="single" w:color="auto" w:sz="4" w:space="0"/>
                    <w:right w:val="single" w:color="auto" w:sz="4" w:space="0"/>
                  </w:tcBorders>
                  <w:noWrap/>
                  <w:vAlign w:val="center"/>
                </w:tcPr>
                <w:p w14:paraId="37A9BE2F">
                  <w:pPr>
                    <w:keepNext w:val="0"/>
                    <w:keepLines w:val="0"/>
                    <w:widowControl/>
                    <w:suppressLineNumbers w:val="0"/>
                    <w:jc w:val="center"/>
                    <w:textAlignment w:val="center"/>
                    <w:rPr>
                      <w:rFonts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尺寸</w:t>
                  </w:r>
                </w:p>
              </w:tc>
              <w:tc>
                <w:tcPr>
                  <w:tcW w:w="2987" w:type="dxa"/>
                  <w:tcBorders>
                    <w:top w:val="single" w:color="auto" w:sz="4" w:space="0"/>
                    <w:left w:val="single" w:color="auto" w:sz="4" w:space="0"/>
                    <w:bottom w:val="single" w:color="auto" w:sz="4" w:space="0"/>
                    <w:right w:val="single" w:color="auto" w:sz="4" w:space="0"/>
                  </w:tcBorders>
                  <w:noWrap w:val="0"/>
                  <w:vAlign w:val="center"/>
                </w:tcPr>
                <w:p w14:paraId="2DE6B6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净显示面积：</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131141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宽*高</w:t>
                  </w:r>
                </w:p>
              </w:tc>
              <w:tc>
                <w:tcPr>
                  <w:tcW w:w="1374" w:type="dxa"/>
                  <w:tcBorders>
                    <w:top w:val="single" w:color="auto" w:sz="4" w:space="0"/>
                    <w:left w:val="single" w:color="auto" w:sz="4" w:space="0"/>
                    <w:bottom w:val="single" w:color="auto" w:sz="4" w:space="0"/>
                    <w:right w:val="single" w:color="auto" w:sz="4" w:space="0"/>
                  </w:tcBorders>
                  <w:noWrap w:val="0"/>
                  <w:vAlign w:val="center"/>
                </w:tcPr>
                <w:p w14:paraId="0DD7A8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800mm</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12E0F7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*1280mm</w:t>
                  </w:r>
                </w:p>
              </w:tc>
            </w:tr>
            <w:tr w14:paraId="0584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1447" w:type="dxa"/>
                  <w:vMerge w:val="continue"/>
                  <w:tcBorders>
                    <w:top w:val="single" w:color="auto" w:sz="4" w:space="0"/>
                    <w:left w:val="single" w:color="auto" w:sz="4" w:space="0"/>
                    <w:bottom w:val="single" w:color="auto" w:sz="4" w:space="0"/>
                    <w:right w:val="single" w:color="auto" w:sz="4" w:space="0"/>
                  </w:tcBorders>
                  <w:noWrap/>
                  <w:vAlign w:val="center"/>
                </w:tcPr>
                <w:p w14:paraId="4C75229F">
                  <w:pPr>
                    <w:jc w:val="center"/>
                    <w:rPr>
                      <w:rFonts w:hint="eastAsia" w:ascii="微软雅黑" w:hAnsi="微软雅黑" w:eastAsia="微软雅黑" w:cs="微软雅黑"/>
                      <w:b/>
                      <w:bCs/>
                      <w:i w:val="0"/>
                      <w:iCs w:val="0"/>
                      <w:color w:val="000000"/>
                      <w:sz w:val="20"/>
                      <w:szCs w:val="20"/>
                      <w:u w:val="none"/>
                    </w:rPr>
                  </w:pPr>
                </w:p>
              </w:tc>
              <w:tc>
                <w:tcPr>
                  <w:tcW w:w="2987" w:type="dxa"/>
                  <w:tcBorders>
                    <w:top w:val="single" w:color="auto" w:sz="4" w:space="0"/>
                    <w:left w:val="single" w:color="auto" w:sz="4" w:space="0"/>
                    <w:bottom w:val="single" w:color="auto" w:sz="4" w:space="0"/>
                    <w:right w:val="single" w:color="auto" w:sz="4" w:space="0"/>
                  </w:tcBorders>
                  <w:noWrap w:val="0"/>
                  <w:vAlign w:val="center"/>
                </w:tcPr>
                <w:p w14:paraId="56F7CE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含框面积：</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40086F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宽*高</w:t>
                  </w:r>
                </w:p>
              </w:tc>
              <w:tc>
                <w:tcPr>
                  <w:tcW w:w="1374" w:type="dxa"/>
                  <w:tcBorders>
                    <w:top w:val="single" w:color="auto" w:sz="4" w:space="0"/>
                    <w:left w:val="single" w:color="auto" w:sz="4" w:space="0"/>
                    <w:bottom w:val="single" w:color="auto" w:sz="4" w:space="0"/>
                    <w:right w:val="single" w:color="auto" w:sz="4" w:space="0"/>
                  </w:tcBorders>
                  <w:noWrap w:val="0"/>
                  <w:vAlign w:val="center"/>
                </w:tcPr>
                <w:p w14:paraId="0F709B1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900mm</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2C1571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*1380mm</w:t>
                  </w:r>
                </w:p>
              </w:tc>
            </w:tr>
          </w:tbl>
          <w:p w14:paraId="4DE1680B">
            <w:pPr>
              <w:keepNext w:val="0"/>
              <w:keepLines w:val="0"/>
              <w:widowControl/>
              <w:suppressLineNumbers w:val="0"/>
              <w:jc w:val="left"/>
              <w:textAlignment w:val="center"/>
              <w:rPr>
                <w:rFonts w:hint="default" w:ascii="微软雅黑" w:hAnsi="微软雅黑" w:eastAsia="微软雅黑" w:cs="微软雅黑"/>
                <w:b/>
                <w:bCs/>
                <w:i w:val="0"/>
                <w:iCs w:val="0"/>
                <w:color w:val="000000"/>
                <w:kern w:val="0"/>
                <w:sz w:val="20"/>
                <w:szCs w:val="20"/>
                <w:u w:val="none"/>
                <w:lang w:val="en-US" w:eastAsia="zh-CN" w:bidi="ar"/>
              </w:rPr>
            </w:pPr>
          </w:p>
        </w:tc>
      </w:tr>
      <w:tr w14:paraId="2A22F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9112" w:type="dxa"/>
            <w:gridSpan w:val="5"/>
            <w:tcBorders>
              <w:top w:val="single" w:color="000000" w:sz="8" w:space="0"/>
              <w:left w:val="single" w:color="000000" w:sz="8" w:space="0"/>
              <w:bottom w:val="nil"/>
              <w:right w:val="single" w:color="000000" w:sz="4" w:space="0"/>
            </w:tcBorders>
            <w:noWrap/>
            <w:vAlign w:val="center"/>
          </w:tcPr>
          <w:p w14:paraId="0582D0D3">
            <w:pPr>
              <w:keepNext w:val="0"/>
              <w:keepLines w:val="0"/>
              <w:widowControl/>
              <w:suppressLineNumbers w:val="0"/>
              <w:jc w:val="left"/>
              <w:textAlignment w:val="center"/>
              <w:rPr>
                <w:rFonts w:hint="default" w:ascii="微软雅黑" w:hAnsi="微软雅黑" w:eastAsia="微软雅黑" w:cs="微软雅黑"/>
                <w:b/>
                <w:bCs/>
                <w:i w:val="0"/>
                <w:iCs w:val="0"/>
                <w:color w:val="000000"/>
                <w:sz w:val="20"/>
                <w:szCs w:val="20"/>
                <w:u w:val="none"/>
                <w:lang w:val="en-US" w:eastAsia="zh-CN"/>
              </w:rPr>
            </w:pPr>
            <w:r>
              <w:rPr>
                <w:rFonts w:hint="eastAsia" w:ascii="微软雅黑" w:hAnsi="微软雅黑" w:eastAsia="微软雅黑" w:cs="微软雅黑"/>
                <w:b/>
                <w:bCs/>
                <w:i w:val="0"/>
                <w:iCs w:val="0"/>
                <w:color w:val="000000"/>
                <w:sz w:val="20"/>
                <w:szCs w:val="20"/>
                <w:u w:val="none"/>
                <w:lang w:val="en-US" w:eastAsia="zh-CN"/>
              </w:rPr>
              <w:t>以下为参数为一块屏参数，共计需要六块。</w:t>
            </w:r>
          </w:p>
        </w:tc>
      </w:tr>
      <w:tr w14:paraId="5B6A4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1" w:type="dxa"/>
            <w:tcBorders>
              <w:top w:val="single" w:color="000000" w:sz="8" w:space="0"/>
              <w:left w:val="single" w:color="000000" w:sz="8" w:space="0"/>
              <w:bottom w:val="single" w:color="000000" w:sz="4" w:space="0"/>
              <w:right w:val="single" w:color="000000" w:sz="4" w:space="0"/>
            </w:tcBorders>
            <w:noWrap/>
            <w:vAlign w:val="center"/>
          </w:tcPr>
          <w:p w14:paraId="7BEFB91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项目</w:t>
            </w:r>
          </w:p>
        </w:tc>
        <w:tc>
          <w:tcPr>
            <w:tcW w:w="475" w:type="dxa"/>
            <w:tcBorders>
              <w:top w:val="single" w:color="000000" w:sz="8" w:space="0"/>
              <w:left w:val="single" w:color="000000" w:sz="4" w:space="0"/>
              <w:bottom w:val="single" w:color="000000" w:sz="4" w:space="0"/>
              <w:right w:val="single" w:color="000000" w:sz="4" w:space="0"/>
            </w:tcBorders>
            <w:noWrap/>
            <w:vAlign w:val="center"/>
          </w:tcPr>
          <w:p w14:paraId="0CE0A72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800" w:type="dxa"/>
            <w:tcBorders>
              <w:top w:val="single" w:color="000000" w:sz="8" w:space="0"/>
              <w:left w:val="single" w:color="000000" w:sz="4" w:space="0"/>
              <w:bottom w:val="single" w:color="000000" w:sz="4" w:space="0"/>
              <w:right w:val="single" w:color="000000" w:sz="4" w:space="0"/>
            </w:tcBorders>
            <w:noWrap/>
            <w:vAlign w:val="center"/>
          </w:tcPr>
          <w:p w14:paraId="2D7B58A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产品名称</w:t>
            </w:r>
          </w:p>
        </w:tc>
        <w:tc>
          <w:tcPr>
            <w:tcW w:w="6528" w:type="dxa"/>
            <w:tcBorders>
              <w:top w:val="single" w:color="000000" w:sz="8" w:space="0"/>
              <w:left w:val="single" w:color="000000" w:sz="4" w:space="0"/>
              <w:bottom w:val="single" w:color="000000" w:sz="4" w:space="0"/>
              <w:right w:val="single" w:color="000000" w:sz="4" w:space="0"/>
            </w:tcBorders>
            <w:noWrap/>
            <w:vAlign w:val="center"/>
          </w:tcPr>
          <w:p w14:paraId="18D8401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参数配置</w:t>
            </w:r>
          </w:p>
        </w:tc>
        <w:tc>
          <w:tcPr>
            <w:tcW w:w="728" w:type="dxa"/>
            <w:tcBorders>
              <w:top w:val="single" w:color="000000" w:sz="8" w:space="0"/>
              <w:left w:val="single" w:color="000000" w:sz="4" w:space="0"/>
              <w:bottom w:val="single" w:color="000000" w:sz="4" w:space="0"/>
              <w:right w:val="single" w:color="000000" w:sz="8" w:space="0"/>
            </w:tcBorders>
            <w:noWrap/>
            <w:vAlign w:val="center"/>
          </w:tcPr>
          <w:p w14:paraId="7B4665A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14:paraId="0B64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1" w:type="dxa"/>
            <w:vMerge w:val="restart"/>
            <w:tcBorders>
              <w:top w:val="single" w:color="000000" w:sz="4" w:space="0"/>
              <w:left w:val="single" w:color="000000" w:sz="8" w:space="0"/>
              <w:bottom w:val="single" w:color="000000" w:sz="4" w:space="0"/>
              <w:right w:val="single" w:color="000000" w:sz="4" w:space="0"/>
            </w:tcBorders>
            <w:noWrap/>
            <w:vAlign w:val="center"/>
          </w:tcPr>
          <w:p w14:paraId="7EA1473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屏体部分</w:t>
            </w:r>
          </w:p>
        </w:tc>
        <w:tc>
          <w:tcPr>
            <w:tcW w:w="475" w:type="dxa"/>
            <w:tcBorders>
              <w:top w:val="single" w:color="000000" w:sz="4" w:space="0"/>
              <w:left w:val="single" w:color="000000" w:sz="4" w:space="0"/>
              <w:bottom w:val="single" w:color="000000" w:sz="4" w:space="0"/>
              <w:right w:val="single" w:color="000000" w:sz="4" w:space="0"/>
            </w:tcBorders>
            <w:noWrap/>
            <w:vAlign w:val="center"/>
          </w:tcPr>
          <w:p w14:paraId="7221B3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65A5B3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LED显示屏</w:t>
            </w:r>
          </w:p>
        </w:tc>
        <w:tc>
          <w:tcPr>
            <w:tcW w:w="6528" w:type="dxa"/>
            <w:tcBorders>
              <w:top w:val="single" w:color="000000" w:sz="4" w:space="0"/>
              <w:left w:val="single" w:color="000000" w:sz="4" w:space="0"/>
              <w:bottom w:val="single" w:color="000000" w:sz="4" w:space="0"/>
              <w:right w:val="single" w:color="000000" w:sz="4" w:space="0"/>
            </w:tcBorders>
            <w:noWrap w:val="0"/>
            <w:vAlign w:val="top"/>
          </w:tcPr>
          <w:p w14:paraId="50ADACFF">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18"/>
                <w:szCs w:val="18"/>
                <w:u w:val="none"/>
                <w:lang w:val="en-US" w:eastAsia="zh-CN" w:bidi="ar"/>
              </w:rPr>
              <w:t>整屏显示尺寸：≥0.8 m* 1.28m 分辨率：≥640*1024</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▲1、点间距≤1.25mm；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为保证产品稳定性，要求采用TOP型SMD封装的灯珠，1R1G1B；灯珠结构支持PPA碗杯结构、点胶封装、出光方式为单面发光；支持PCB平面结构，molding以现场实际情况进行封装、切割、出光方式为五面发光；(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3、LED显示模组亮度均匀性≥99%（校正后）；</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4、LED显示模组的基色主波长的测量误差∆入D≤2nm；</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▲5、视角：垂直≥178度，水平≥178度(响应文件中须提供第三方检测机构出具的检测报告复印件并加盖供应商公章）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6、色温（K）：9300K，20—20000可调，调节步长100K，色温为6500K时，100%、75%、50%、25%四档电平白场调节色温误差≤±200K；色温为8500K时，100%、75%、50%、25%四档电平白场调节色温误差≤±100K；</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▲7、电流增益调节级别≥10位，电流增益调节范围1%-199%(响应文件中须提供第三方检测机构出具的检测报告复印件并加盖供应商公章）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8、视觉舒适度(VICO指数)测试值在O≤VICO＜1,满足CSA035.2-2017标准量化分级1级，视觉舒适度等级为1级，视觉健康舒适度等级为S级；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9、色度均匀性：±0.001(Cx,Cy之内)；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▲10、对比度≥20000:1；(响应文件中须提供第三方检测机构出具的检测报告复印件并加盖供应商公章）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平整度等级：模组间隙≤0.01mm，拼接模组间隙≤0.01mm，像素中心距相对偏差等级Jx≤0.5%，垂直相对错位等级Cc≤0.5%，水平相对错位等级Cs≤0.5%；(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12、刷新率≥3840Hz；</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13、色域覆盖率：显示符合广电级显示效果，高色域重合度，色域重合度≥99.3%；色域覆盖率：NTSC 色域覆盖率≥125%；</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▲14、PCB 采用 FR-4 四层板同等级或更高材料，表面沉金处理，板厚≥1.6mm，铜厚≥1 盎司，TG≥150，PCB 板表面具备防潮/防尘/防静电/抗氧化，防霉等级≤1 级。符合CQC13-471301-2018节能要求，采用抗消隐设计，无“毛毛虫”“鬼影”跟随现象，模组与HUB板采用排线连接，无级联，可直接插拔和热插拔(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15、显示屏塑料面罩底壳应能通过550℃灼热丝试验要求，满足HB等级要求；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16、显示屏经蓝光危害检测结果为无危害；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▲17、噪声测试：屏前、屏后、屏左、屏右1m处，噪声声压≤3dB；(响应文件中须提供第三方检测机构出具的检测报告复印件并加盖供应商公章）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▲18、具有智能节电和黑屏节电功能，节能模式节电60%以上；(响应文件中须提供第三方检测机构出具的检测报告复印件并加盖供应商公章）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▲19、平均修复时间≤1分钟，平均无故障工作时间≥120000小时，支持7*24小时不间断工作；(响应文件中须提供第三方检测机构出具的检测报告复印件并加盖供应商公章）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20、LED显示屏所使用的各种材料和元器件，,铅、汞、六价铬、多溴联苯、多溴二苯醚(十溴二苯醚除外)的含量不应超过0.1%,镉的含量不应超过0.01%；(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21、显示屏图像质量主观评价方法进行，运动图像清晰度、灰度表现力2（伪轮廓现象）主观感受满足图像质量好，十分满意，评价优级，评分5分；</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22、根据工业用电频率时实心电绝缘材料的介电击穿电压与介电强度的试验方法，印刷板在经过湿热箱处理120h后进行测试，绝缘部分未被击穿；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▲23、采用 MC 多通道校正技术，消除屏体在不同灰阶下的麻点和色块问题，保证全灰阶显示均匀一致；(响应文件中须提供第三方检测机构出具的检测报告复印件并加盖供应商公章）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24、支持鬼影消除、低灰偏色补偿、去除坏点、毛毛虫消除、余辉消除、亮度缓慢变亮功能；</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▲25、摩擦起电电压|V|≤100V;静电电压衰减期 (±1000-±100V）≤2S;(响应文件中须提供第三方检测机构出具的检测报告复印件并加盖供应商公章）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26、具备20条以上可调节的γ校正曲线；</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▲27、采用 MWFRFT 多层多参数智慧调节技术处理技术，打破传统单层 WFRFT 结构模式扩展为多层 MWFRFT 结构，提升大屏低灰刷新不足引起的闪烁问题；(响应文件中须提供第三方检测机构出具的检测报告复印件并加盖供应商公章）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28、模组采用4P接插头，免工具维护，具有防呆设置，避免线路接错的问题。采用集成hub接收卡控制，支持通讯状态监测，高灰度，高刷新</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▲29、支持HDR信号显示,，支持HDR高动态光照渲染技术。支持高动态范围(HDR，Higi-Dynamic Range)检测项目峰值亮度1000-1500、黑色亮度≤0.05cd/m2、EOTF 曲线拟合度0.7-1.3、色域覆盖率≥90（相对DCILP3色空间）、色域重合度≥60%.达到HDR3.0标准。(响应文件中须提供第三方检测机构出具的检测报告复印件并加盖供应商公章）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30、支持模组级的 LED 灯防撞灯保护装置；</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▲31、通过沙尘试验，粒子尺寸＜75μm 的滑石粉，尘降量 600g/（㎡ ·d）， 自由降尘，试验时间8h，产品未发现尘沉积及侵入；(响应文件中须提供第三方检测机构出具的检测报告复印件并加盖供应商公章）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32、电源插头或电源接入端子与外壳裸露金属部件之间绝缘电阻在正常大气条件下应≥500MΩ，湿热条件下应≥20MΩ;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33、亮度调节支持手动/自动/远程调节；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▲34、通过灯管耐焊耐热测试：灯珠引脚无氧化,焊接正常,灯珠胶体正常,点亮正常；(响应文件中须提供第三方检测机构出具的检测报告复印件并加盖供应商公章）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▲35、通过抗静电(ESD)测试:HBM模式:ESD＞2000V,灯珠点亮无异常；(响应文件中须提供第三方检测机构出具的检测报告复印件并加盖供应商公章）</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36、PCB板及塑胶底壳、面罩满足UL94 V-0级要求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▲37、通过爬电试验：使用 50 滴溶液（质量分 数 0.1%，纯度 99.8%的分析纯无水氯化铵）进行试验，爬电距离不超过 1.9mm，产品不出现绝缘闪络或击穿；(响应文件中须提供第三方检测机构出具的检测报告复印件并加盖供应商公章）</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48277BA4">
            <w:pPr>
              <w:rPr>
                <w:rFonts w:hint="eastAsia" w:ascii="微软雅黑" w:hAnsi="微软雅黑" w:eastAsia="微软雅黑" w:cs="微软雅黑"/>
                <w:i w:val="0"/>
                <w:iCs w:val="0"/>
                <w:color w:val="000000"/>
                <w:sz w:val="20"/>
                <w:szCs w:val="20"/>
                <w:u w:val="none"/>
              </w:rPr>
            </w:pPr>
          </w:p>
        </w:tc>
      </w:tr>
      <w:tr w14:paraId="72E9C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1" w:type="dxa"/>
            <w:vMerge w:val="continue"/>
            <w:tcBorders>
              <w:top w:val="single" w:color="000000" w:sz="4" w:space="0"/>
              <w:left w:val="single" w:color="000000" w:sz="8" w:space="0"/>
              <w:bottom w:val="single" w:color="000000" w:sz="4" w:space="0"/>
              <w:right w:val="single" w:color="000000" w:sz="4" w:space="0"/>
            </w:tcBorders>
            <w:noWrap/>
            <w:vAlign w:val="center"/>
          </w:tcPr>
          <w:p w14:paraId="16FDD6E0">
            <w:pPr>
              <w:jc w:val="center"/>
              <w:rPr>
                <w:rFonts w:hint="eastAsia" w:ascii="微软雅黑" w:hAnsi="微软雅黑" w:eastAsia="微软雅黑" w:cs="微软雅黑"/>
                <w:b/>
                <w:bCs/>
                <w:i w:val="0"/>
                <w:iCs w:val="0"/>
                <w:color w:val="000000"/>
                <w:sz w:val="18"/>
                <w:szCs w:val="18"/>
                <w:u w:val="none"/>
              </w:rPr>
            </w:pPr>
          </w:p>
        </w:tc>
        <w:tc>
          <w:tcPr>
            <w:tcW w:w="475" w:type="dxa"/>
            <w:tcBorders>
              <w:top w:val="single" w:color="000000" w:sz="4" w:space="0"/>
              <w:left w:val="single" w:color="000000" w:sz="4" w:space="0"/>
              <w:bottom w:val="single" w:color="000000" w:sz="4" w:space="0"/>
              <w:right w:val="single" w:color="000000" w:sz="4" w:space="0"/>
            </w:tcBorders>
            <w:noWrap/>
            <w:vAlign w:val="center"/>
          </w:tcPr>
          <w:p w14:paraId="602FBC69">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2</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4DA170B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接收卡</w:t>
            </w:r>
          </w:p>
        </w:tc>
        <w:tc>
          <w:tcPr>
            <w:tcW w:w="6528" w:type="dxa"/>
            <w:tcBorders>
              <w:top w:val="single" w:color="000000" w:sz="4" w:space="0"/>
              <w:left w:val="single" w:color="000000" w:sz="4" w:space="0"/>
              <w:bottom w:val="single" w:color="000000" w:sz="4" w:space="0"/>
              <w:right w:val="single" w:color="000000" w:sz="4" w:space="0"/>
            </w:tcBorders>
            <w:noWrap w:val="0"/>
            <w:vAlign w:val="center"/>
          </w:tcPr>
          <w:p w14:paraId="58792026">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1、单卡带载512×512，具有8个HUB75接口。</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2、单卡16组RGB数据组输出模式，且通过拓展模式可达到128组串行数据组输出。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3、接收卡搭配发送设备，可通过调试软件对色温进行2000K-10000K范围调节，可适配场景、护视力、优化显示拍摄效果，通过改变光色温满足多样需求。</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▲4、通过调试软件可快速标示出对应主控、网口、网口下接收卡实际硬件连接序号，方便设置屏体的连接关系。</w:t>
            </w:r>
          </w:p>
          <w:p w14:paraId="00F47806">
            <w:pPr>
              <w:keepNext w:val="0"/>
              <w:keepLines w:val="0"/>
              <w:widowControl/>
              <w:numPr>
                <w:ilvl w:val="-1"/>
                <w:numId w:val="0"/>
              </w:numPr>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5、接收卡支持通过调试软件进行设置箱体画面，以90 °/180 °/270 ° 角度进行旋转，配合部分主控可实现箱体画面任意角度旋转显示。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▲6、接收卡支持对模组数据进行任意行、列、点数据进行抽取修改操作，可同时添加多个行、列、点位置，自定义抽取数据大小。用于满足组模数据组不对称、模组空点等实际场景。</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▲7、通过主备冗余机制增加接收卡串联的可靠性。主备串联线路中，当其中一条线路出现故障时，另一条线路会即时工作，保证显示屏正常工作,为证明网线冗余热备份功能的专业性。</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8、可以轻松点亮三角形、梯形、圆形、扇形及各种不规则形状的LED模组和箱体，应用于不同造型的LED显示屏。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▲9、接收卡支持8bit/14bit精度的色度，亮度一体化逐点校正，能有效消除灯点色差，保证整屏的颜色亮度的均匀性和一致性，提升整体显示效果。</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10、接收卡搭配发送设备，开启3D画面，可实现显虚拟现实逼真的画面。</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4CD2280F">
            <w:pPr>
              <w:rPr>
                <w:rFonts w:hint="eastAsia" w:ascii="微软雅黑" w:hAnsi="微软雅黑" w:eastAsia="微软雅黑" w:cs="微软雅黑"/>
                <w:i w:val="0"/>
                <w:iCs w:val="0"/>
                <w:color w:val="000000"/>
                <w:sz w:val="20"/>
                <w:szCs w:val="20"/>
                <w:u w:val="none"/>
              </w:rPr>
            </w:pPr>
          </w:p>
        </w:tc>
      </w:tr>
      <w:tr w14:paraId="3D380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1" w:type="dxa"/>
            <w:vMerge w:val="continue"/>
            <w:tcBorders>
              <w:top w:val="single" w:color="000000" w:sz="4" w:space="0"/>
              <w:left w:val="single" w:color="000000" w:sz="8" w:space="0"/>
              <w:bottom w:val="single" w:color="000000" w:sz="4" w:space="0"/>
              <w:right w:val="single" w:color="000000" w:sz="4" w:space="0"/>
            </w:tcBorders>
            <w:noWrap/>
            <w:vAlign w:val="center"/>
          </w:tcPr>
          <w:p w14:paraId="53D7E5F6">
            <w:pPr>
              <w:jc w:val="center"/>
              <w:rPr>
                <w:rFonts w:hint="eastAsia" w:ascii="微软雅黑" w:hAnsi="微软雅黑" w:eastAsia="微软雅黑" w:cs="微软雅黑"/>
                <w:b/>
                <w:bCs/>
                <w:i w:val="0"/>
                <w:iCs w:val="0"/>
                <w:color w:val="000000"/>
                <w:sz w:val="18"/>
                <w:szCs w:val="18"/>
                <w:u w:val="none"/>
              </w:rPr>
            </w:pPr>
          </w:p>
        </w:tc>
        <w:tc>
          <w:tcPr>
            <w:tcW w:w="475" w:type="dxa"/>
            <w:tcBorders>
              <w:top w:val="single" w:color="000000" w:sz="4" w:space="0"/>
              <w:left w:val="single" w:color="000000" w:sz="4" w:space="0"/>
              <w:bottom w:val="single" w:color="000000" w:sz="4" w:space="0"/>
              <w:right w:val="single" w:color="000000" w:sz="4" w:space="0"/>
            </w:tcBorders>
            <w:noWrap/>
            <w:vAlign w:val="center"/>
          </w:tcPr>
          <w:p w14:paraId="158DCAD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3</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1A79607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LED电源</w:t>
            </w:r>
          </w:p>
        </w:tc>
        <w:tc>
          <w:tcPr>
            <w:tcW w:w="6528" w:type="dxa"/>
            <w:tcBorders>
              <w:top w:val="single" w:color="000000" w:sz="4" w:space="0"/>
              <w:left w:val="single" w:color="000000" w:sz="4" w:space="0"/>
              <w:bottom w:val="single" w:color="000000" w:sz="4" w:space="0"/>
              <w:right w:val="single" w:color="000000" w:sz="4" w:space="0"/>
            </w:tcBorders>
            <w:noWrap w:val="0"/>
            <w:vAlign w:val="center"/>
          </w:tcPr>
          <w:p w14:paraId="07BF4651">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1.额定输入电压范围及功率：200-240VAC；</w:t>
            </w:r>
          </w:p>
          <w:p w14:paraId="0AC1BE4F">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2.输入频率：最小值47HZ 最大值63HZ；</w:t>
            </w:r>
          </w:p>
          <w:p w14:paraId="7452B97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3.空载功耗≤5W；</w:t>
            </w:r>
          </w:p>
          <w:p w14:paraId="419E4EF2">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4.额定输出电压V1：+5.0Vdc；</w:t>
            </w:r>
          </w:p>
          <w:p w14:paraId="0CE7FEAD">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5.短路保护：可长期短路，消除短路后自动恢复工作；</w:t>
            </w:r>
          </w:p>
          <w:p w14:paraId="4725FA9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6.额定输出电流：0-40A；</w:t>
            </w:r>
          </w:p>
          <w:p w14:paraId="1B8374DE">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7.电压过冲：5% Vout；</w:t>
            </w:r>
          </w:p>
          <w:p w14:paraId="1CDE6AB2">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18"/>
                <w:szCs w:val="18"/>
                <w:u w:val="none"/>
                <w:lang w:val="en-US" w:eastAsia="zh-CN" w:bidi="ar"/>
              </w:rPr>
              <w:t>8.工作温度﹣40°～+70℃</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77EA7A2A">
            <w:pPr>
              <w:rPr>
                <w:rFonts w:hint="eastAsia" w:ascii="微软雅黑" w:hAnsi="微软雅黑" w:eastAsia="微软雅黑" w:cs="微软雅黑"/>
                <w:i w:val="0"/>
                <w:iCs w:val="0"/>
                <w:color w:val="000000"/>
                <w:sz w:val="20"/>
                <w:szCs w:val="20"/>
                <w:u w:val="none"/>
              </w:rPr>
            </w:pPr>
          </w:p>
        </w:tc>
      </w:tr>
      <w:tr w14:paraId="5941F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1" w:type="dxa"/>
            <w:vMerge w:val="continue"/>
            <w:tcBorders>
              <w:top w:val="single" w:color="000000" w:sz="4" w:space="0"/>
              <w:left w:val="single" w:color="000000" w:sz="8" w:space="0"/>
              <w:bottom w:val="single" w:color="auto" w:sz="4" w:space="0"/>
              <w:right w:val="single" w:color="000000" w:sz="4" w:space="0"/>
            </w:tcBorders>
            <w:noWrap/>
            <w:vAlign w:val="center"/>
          </w:tcPr>
          <w:p w14:paraId="02B869B1">
            <w:pPr>
              <w:jc w:val="center"/>
              <w:rPr>
                <w:rFonts w:hint="eastAsia" w:ascii="微软雅黑" w:hAnsi="微软雅黑" w:eastAsia="微软雅黑" w:cs="微软雅黑"/>
                <w:b/>
                <w:bCs/>
                <w:i w:val="0"/>
                <w:iCs w:val="0"/>
                <w:color w:val="000000"/>
                <w:sz w:val="18"/>
                <w:szCs w:val="18"/>
                <w:u w:val="none"/>
              </w:rPr>
            </w:pPr>
          </w:p>
        </w:tc>
        <w:tc>
          <w:tcPr>
            <w:tcW w:w="475" w:type="dxa"/>
            <w:tcBorders>
              <w:top w:val="single" w:color="000000" w:sz="4" w:space="0"/>
              <w:left w:val="single" w:color="000000" w:sz="4" w:space="0"/>
              <w:bottom w:val="single" w:color="auto" w:sz="4" w:space="0"/>
              <w:right w:val="single" w:color="000000" w:sz="4" w:space="0"/>
            </w:tcBorders>
            <w:noWrap/>
            <w:vAlign w:val="center"/>
          </w:tcPr>
          <w:p w14:paraId="74F6EBC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4</w:t>
            </w:r>
          </w:p>
        </w:tc>
        <w:tc>
          <w:tcPr>
            <w:tcW w:w="800" w:type="dxa"/>
            <w:tcBorders>
              <w:top w:val="single" w:color="000000" w:sz="4" w:space="0"/>
              <w:left w:val="single" w:color="000000" w:sz="4" w:space="0"/>
              <w:bottom w:val="single" w:color="000000" w:sz="4" w:space="0"/>
              <w:right w:val="single" w:color="000000" w:sz="4" w:space="0"/>
            </w:tcBorders>
            <w:noWrap/>
            <w:vAlign w:val="center"/>
          </w:tcPr>
          <w:p w14:paraId="5C15DA0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联网播放盒</w:t>
            </w:r>
          </w:p>
        </w:tc>
        <w:tc>
          <w:tcPr>
            <w:tcW w:w="6528" w:type="dxa"/>
            <w:tcBorders>
              <w:top w:val="single" w:color="000000" w:sz="4" w:space="0"/>
              <w:left w:val="single" w:color="000000" w:sz="4" w:space="0"/>
              <w:bottom w:val="single" w:color="000000" w:sz="4" w:space="0"/>
              <w:right w:val="single" w:color="000000" w:sz="4" w:space="0"/>
            </w:tcBorders>
            <w:noWrap w:val="0"/>
            <w:vAlign w:val="center"/>
          </w:tcPr>
          <w:p w14:paraId="792CC40A">
            <w:pPr>
              <w:keepNext w:val="0"/>
              <w:keepLines w:val="0"/>
              <w:widowControl/>
              <w:numPr>
                <w:ilvl w:val="0"/>
                <w:numId w:val="1"/>
              </w:numPr>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▲支持2路千兆网口输出，整机最大带载为130万像素，最宽带载4096 像素，最高带载2560像素，支持同步输入显示或者异步播放显示，支持设置同异步优先级，支持同步输入画面缩放显示。</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2.设备自带≥32G内存，用户可用≥25G存储容量，支持通过USB接口进行播放素材。</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 ▲支持1路HDMI 1.4信号输入，支持画面裁剪/缩放。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4.支持简体中文、繁体中文、英语等多种语言切换。</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5.设备支持图片、视频、TXT、RTF、Word、Excel、PPT、中国天气、全球天气、环境信息、多风格时钟、正计时、倒计时、网页、流媒体、新闻、特效字、摄像头节目、数据库节目、modbus节目等多种类型节目播放。</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 可通过U盘进行自定义开机动画与背景图片配置；也可自定义型号，设备进行了恢复出厂设置也不会导致型号重置，可清空型号数据重置型号。</w:t>
            </w:r>
          </w:p>
          <w:p w14:paraId="16467C2F">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7.通过设置继电器排程，定时控制继电器的断开和闭合，来定时控制屏幕的供电；支持通过自动继电器控制，休眠时屏幕断电，唤醒时屏幕上电。</w:t>
            </w:r>
          </w:p>
          <w:p w14:paraId="41433101">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8.可通过多种途径进行节目发布：U盘发布、局域网发布；可通过APP、客户端软件、web平台等多种平台进行发布节目。</w:t>
            </w:r>
          </w:p>
          <w:p w14:paraId="43A5C280">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18"/>
                <w:szCs w:val="18"/>
                <w:u w:val="none"/>
                <w:lang w:val="en-US" w:eastAsia="zh-CN" w:bidi="ar"/>
              </w:rPr>
              <w:t>9．▲可实现局域网内个人设备保护，防止信息泄露。用户可在客户端软件、web平台、APP内进行密码修改，通过局域网访问设备时需要输入密码才能够进入。</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10.▲支持通过串口（RS232/RS485）及网络（TCP/UDP）协议接入中控设备。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 设备网络通讯方式可支持USB线 、LAN、WiFi通讯等。</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 单行文本、多行文本，支持静态和动态显示，单个高清视频窗口或最多 标清视频窗口、多个图文、滚动字幕、滚动图片、LOGO、日期时间星期、天气预报。实现自由分屏功能，不同区域显示不同内容，窗口任意叠加，支持完全透明、不透明等效果。</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1FFAC09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带控制软件</w:t>
            </w:r>
          </w:p>
        </w:tc>
      </w:tr>
      <w:tr w14:paraId="64D5E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6" w:hRule="atLeast"/>
        </w:trPr>
        <w:tc>
          <w:tcPr>
            <w:tcW w:w="5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4287F">
            <w:pPr>
              <w:jc w:val="center"/>
              <w:rPr>
                <w:rFonts w:hint="eastAsia" w:ascii="微软雅黑" w:hAnsi="微软雅黑" w:eastAsia="微软雅黑" w:cs="微软雅黑"/>
                <w:b/>
                <w:bCs/>
                <w:i w:val="0"/>
                <w:iCs w:val="0"/>
                <w:color w:val="000000"/>
                <w:sz w:val="18"/>
                <w:szCs w:val="18"/>
                <w:u w:val="none"/>
              </w:rPr>
            </w:pPr>
          </w:p>
        </w:tc>
        <w:tc>
          <w:tcPr>
            <w:tcW w:w="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81DF8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5</w:t>
            </w:r>
          </w:p>
        </w:tc>
        <w:tc>
          <w:tcPr>
            <w:tcW w:w="80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F70F5E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有源吸顶音箱</w:t>
            </w:r>
          </w:p>
        </w:tc>
        <w:tc>
          <w:tcPr>
            <w:tcW w:w="65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B8144">
            <w:pP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18"/>
                <w:szCs w:val="18"/>
                <w:u w:val="none"/>
                <w:lang w:val="en-US" w:eastAsia="zh-CN" w:bidi="ar"/>
              </w:rPr>
              <w:t>1.支持有线立体声连接及无线蓝牙传输方案，内置数字功放功能，提供高品质的音质和兼容性，整体性能更优越；</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2.采用单独供电方式；</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3.结构合理、吸顶式安装；</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4.频响宽广的全频带喇叭单元；</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5.性能高效、低失真、低损耗；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6.无线传输范围空旷大于10米；</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7.额定功率：5-10W/D类数字功放模块；</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8.频响：120Hz-15KHz（±3dB）；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9.非线性失真THD：&lt;0.05% at 1kHz，1/3额定输出功率；</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10.信噪比S/N：&gt;70dB；</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11.支持蓝牙协议：HFPV1.5, A2DPV1.2,AVRCPV1.4，HSP1.2, GAVDP1.2，IOP；</w:t>
            </w:r>
            <w:r>
              <w:rPr>
                <w:rFonts w:hint="eastAsia" w:ascii="微软雅黑" w:hAnsi="微软雅黑" w:eastAsia="微软雅黑" w:cs="微软雅黑"/>
                <w:i w:val="0"/>
                <w:iCs w:val="0"/>
                <w:color w:val="000000"/>
                <w:kern w:val="0"/>
                <w:sz w:val="18"/>
                <w:szCs w:val="18"/>
                <w:u w:val="none"/>
                <w:lang w:val="en-US" w:eastAsia="zh-CN" w:bidi="ar"/>
              </w:rPr>
              <w:br w:type="textWrapping"/>
            </w:r>
            <w:r>
              <w:rPr>
                <w:rFonts w:hint="eastAsia" w:ascii="微软雅黑" w:hAnsi="微软雅黑" w:eastAsia="微软雅黑" w:cs="微软雅黑"/>
                <w:i w:val="0"/>
                <w:iCs w:val="0"/>
                <w:color w:val="000000"/>
                <w:kern w:val="0"/>
                <w:sz w:val="18"/>
                <w:szCs w:val="18"/>
                <w:u w:val="none"/>
                <w:lang w:val="en-US" w:eastAsia="zh-CN" w:bidi="ar"/>
              </w:rPr>
              <w:t>12.安装形式：吸顶式安装；装饰材料：ABS；</w:t>
            </w:r>
          </w:p>
        </w:tc>
        <w:tc>
          <w:tcPr>
            <w:tcW w:w="7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BC7ABA">
            <w:pPr>
              <w:rPr>
                <w:rFonts w:hint="eastAsia" w:ascii="微软雅黑" w:hAnsi="微软雅黑" w:eastAsia="微软雅黑" w:cs="微软雅黑"/>
                <w:i w:val="0"/>
                <w:iCs w:val="0"/>
                <w:color w:val="000000"/>
                <w:kern w:val="0"/>
                <w:sz w:val="21"/>
                <w:szCs w:val="21"/>
                <w:u w:val="none"/>
                <w:lang w:val="en-US" w:eastAsia="zh-CN" w:bidi="ar"/>
              </w:rPr>
            </w:pPr>
          </w:p>
        </w:tc>
      </w:tr>
      <w:tr w14:paraId="3E63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581" w:type="dxa"/>
            <w:vMerge w:val="restart"/>
            <w:tcBorders>
              <w:left w:val="single" w:color="auto" w:sz="4" w:space="0"/>
              <w:bottom w:val="single" w:color="auto" w:sz="4" w:space="0"/>
              <w:right w:val="single" w:color="000000" w:sz="4" w:space="0"/>
            </w:tcBorders>
            <w:shd w:val="clear" w:color="auto" w:fill="auto"/>
            <w:noWrap/>
            <w:vAlign w:val="center"/>
          </w:tcPr>
          <w:p w14:paraId="3D8BA466">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工程部分</w:t>
            </w:r>
          </w:p>
        </w:tc>
        <w:tc>
          <w:tcPr>
            <w:tcW w:w="47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D9ABCC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6</w:t>
            </w:r>
          </w:p>
        </w:tc>
        <w:tc>
          <w:tcPr>
            <w:tcW w:w="80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0D8B44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包装运输费</w:t>
            </w:r>
          </w:p>
        </w:tc>
        <w:tc>
          <w:tcPr>
            <w:tcW w:w="6528"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F920798">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 xml:space="preserve">包装、运抵需方指定施工地点 </w:t>
            </w:r>
          </w:p>
        </w:tc>
        <w:tc>
          <w:tcPr>
            <w:tcW w:w="7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666C7">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r>
      <w:tr w14:paraId="3473D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8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A9D699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95E3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7</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57233">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安装耗材</w:t>
            </w:r>
          </w:p>
        </w:tc>
        <w:tc>
          <w:tcPr>
            <w:tcW w:w="6528"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7816258A">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包含安装过程中的所有线材耗材等</w:t>
            </w:r>
          </w:p>
        </w:tc>
        <w:tc>
          <w:tcPr>
            <w:tcW w:w="7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2E110">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r>
      <w:tr w14:paraId="37E07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5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8C900E">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配置清单</w:t>
            </w:r>
          </w:p>
        </w:tc>
        <w:tc>
          <w:tcPr>
            <w:tcW w:w="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F1D38">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8</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ABB38">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6528"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52F108EC">
            <w:pPr>
              <w:pStyle w:val="3"/>
              <w:jc w:val="left"/>
              <w:rPr>
                <w:rFonts w:hint="eastAsia" w:ascii="微软雅黑" w:hAnsi="微软雅黑" w:eastAsia="微软雅黑" w:cs="微软雅黑"/>
                <w:i w:val="0"/>
                <w:iCs w:val="0"/>
                <w:color w:val="000000"/>
                <w:kern w:val="0"/>
                <w:sz w:val="18"/>
                <w:szCs w:val="18"/>
                <w:u w:val="none"/>
                <w:lang w:val="en-US" w:eastAsia="zh-CN" w:bidi="ar"/>
              </w:rPr>
            </w:pPr>
          </w:p>
          <w:p w14:paraId="7C386D6B">
            <w:pPr>
              <w:pStyle w:val="3"/>
              <w:jc w:val="left"/>
              <w:rPr>
                <w:rFonts w:hint="default" w:eastAsia="宋体"/>
                <w:lang w:val="en-US" w:eastAsia="zh-CN"/>
              </w:rPr>
            </w:pPr>
            <w:r>
              <w:rPr>
                <w:rFonts w:hint="eastAsia" w:ascii="微软雅黑" w:hAnsi="微软雅黑" w:eastAsia="微软雅黑" w:cs="微软雅黑"/>
                <w:i w:val="0"/>
                <w:iCs w:val="0"/>
                <w:color w:val="000000"/>
                <w:kern w:val="0"/>
                <w:sz w:val="18"/>
                <w:szCs w:val="18"/>
                <w:u w:val="none"/>
                <w:lang w:val="en-US" w:eastAsia="zh-CN" w:bidi="ar"/>
              </w:rPr>
              <w:t>屏体部分：（LED显示屏、接收卡、LED电源、联网播放盒、有源吸顶音箱）*6套</w:t>
            </w:r>
          </w:p>
          <w:p w14:paraId="5940B8EB">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18"/>
                <w:szCs w:val="18"/>
                <w:u w:val="none"/>
                <w:lang w:val="en-US" w:eastAsia="zh-CN" w:bidi="ar"/>
              </w:rPr>
            </w:pPr>
          </w:p>
        </w:tc>
        <w:tc>
          <w:tcPr>
            <w:tcW w:w="7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05934">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r>
      <w:tr w14:paraId="71F26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5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A9BB2">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color w:val="000000"/>
                <w:kern w:val="0"/>
                <w:sz w:val="18"/>
                <w:szCs w:val="18"/>
                <w:u w:val="none"/>
                <w:lang w:bidi="ar"/>
              </w:rPr>
              <w:t>▲</w:t>
            </w:r>
            <w:r>
              <w:rPr>
                <w:rFonts w:hint="eastAsia" w:ascii="微软雅黑" w:hAnsi="微软雅黑" w:eastAsia="微软雅黑" w:cs="微软雅黑"/>
                <w:i w:val="0"/>
                <w:iCs w:val="0"/>
                <w:color w:val="000000"/>
                <w:kern w:val="0"/>
                <w:sz w:val="18"/>
                <w:szCs w:val="18"/>
                <w:u w:val="none"/>
                <w:lang w:val="en-US" w:eastAsia="zh-CN" w:bidi="ar"/>
              </w:rPr>
              <w:t>商务条款</w:t>
            </w:r>
          </w:p>
        </w:tc>
        <w:tc>
          <w:tcPr>
            <w:tcW w:w="4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F1B5F">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9</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EDFFC">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18"/>
                <w:szCs w:val="18"/>
                <w:u w:val="none"/>
                <w:lang w:val="en-US" w:eastAsia="zh-CN" w:bidi="ar"/>
              </w:rPr>
            </w:pPr>
          </w:p>
        </w:tc>
        <w:tc>
          <w:tcPr>
            <w:tcW w:w="6528" w:type="dxa"/>
            <w:tcBorders>
              <w:top w:val="single" w:color="auto" w:sz="4" w:space="0"/>
              <w:left w:val="single" w:color="auto" w:sz="4" w:space="0"/>
              <w:bottom w:val="single" w:color="auto" w:sz="4" w:space="0"/>
              <w:right w:val="single" w:color="000000" w:sz="4" w:space="0"/>
            </w:tcBorders>
            <w:shd w:val="clear" w:color="auto" w:fill="auto"/>
            <w:noWrap/>
            <w:vAlign w:val="center"/>
          </w:tcPr>
          <w:p w14:paraId="629601B3">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1、本项目预算金额为</w:t>
            </w:r>
            <w:r>
              <w:rPr>
                <w:rFonts w:hint="eastAsia" w:ascii="微软雅黑" w:hAnsi="微软雅黑" w:eastAsia="微软雅黑" w:cs="微软雅黑"/>
                <w:color w:val="000000"/>
                <w:kern w:val="0"/>
                <w:sz w:val="18"/>
                <w:szCs w:val="18"/>
                <w:lang w:eastAsia="zh-CN" w:bidi="ar"/>
              </w:rPr>
              <w:t>1</w:t>
            </w:r>
            <w:r>
              <w:rPr>
                <w:rFonts w:hint="eastAsia" w:ascii="微软雅黑" w:hAnsi="微软雅黑" w:eastAsia="微软雅黑" w:cs="微软雅黑"/>
                <w:color w:val="000000"/>
                <w:kern w:val="0"/>
                <w:sz w:val="18"/>
                <w:szCs w:val="18"/>
                <w:lang w:val="en-US" w:eastAsia="zh-CN" w:bidi="ar"/>
              </w:rPr>
              <w:t>3.56</w:t>
            </w:r>
            <w:r>
              <w:rPr>
                <w:rFonts w:hint="eastAsia" w:ascii="微软雅黑" w:hAnsi="微软雅黑" w:eastAsia="微软雅黑" w:cs="微软雅黑"/>
                <w:color w:val="000000"/>
                <w:kern w:val="0"/>
                <w:sz w:val="18"/>
                <w:szCs w:val="18"/>
                <w:lang w:bidi="ar"/>
              </w:rPr>
              <w:t>万元，最高限价</w:t>
            </w:r>
            <w:r>
              <w:rPr>
                <w:rFonts w:hint="eastAsia" w:ascii="微软雅黑" w:hAnsi="微软雅黑" w:eastAsia="微软雅黑" w:cs="微软雅黑"/>
                <w:color w:val="000000"/>
                <w:kern w:val="0"/>
                <w:sz w:val="18"/>
                <w:szCs w:val="18"/>
                <w:u w:val="none"/>
                <w:lang w:eastAsia="zh-CN" w:bidi="ar"/>
              </w:rPr>
              <w:t>1</w:t>
            </w:r>
            <w:r>
              <w:rPr>
                <w:rFonts w:hint="eastAsia" w:ascii="微软雅黑" w:hAnsi="微软雅黑" w:eastAsia="微软雅黑" w:cs="微软雅黑"/>
                <w:color w:val="000000"/>
                <w:kern w:val="0"/>
                <w:sz w:val="18"/>
                <w:szCs w:val="18"/>
                <w:u w:val="none"/>
                <w:lang w:val="en-US" w:eastAsia="zh-CN" w:bidi="ar"/>
              </w:rPr>
              <w:t>3.56</w:t>
            </w:r>
            <w:r>
              <w:rPr>
                <w:rFonts w:hint="eastAsia" w:ascii="微软雅黑" w:hAnsi="微软雅黑" w:eastAsia="微软雅黑" w:cs="微软雅黑"/>
                <w:color w:val="000000"/>
                <w:kern w:val="0"/>
                <w:sz w:val="18"/>
                <w:szCs w:val="18"/>
                <w:lang w:bidi="ar"/>
              </w:rPr>
              <w:t>万元，</w:t>
            </w:r>
            <w:r>
              <w:rPr>
                <w:rFonts w:hint="eastAsia" w:ascii="微软雅黑" w:hAnsi="微软雅黑" w:eastAsia="微软雅黑" w:cs="微软雅黑"/>
                <w:color w:val="000000"/>
                <w:kern w:val="0"/>
                <w:sz w:val="18"/>
                <w:szCs w:val="18"/>
                <w:lang w:val="en-US" w:eastAsia="zh-CN" w:bidi="ar"/>
              </w:rPr>
              <w:t>2.26万元/套。</w:t>
            </w:r>
            <w:r>
              <w:rPr>
                <w:rFonts w:hint="eastAsia" w:ascii="微软雅黑" w:hAnsi="微软雅黑" w:eastAsia="微软雅黑" w:cs="微软雅黑"/>
                <w:color w:val="000000"/>
                <w:kern w:val="0"/>
                <w:sz w:val="18"/>
                <w:szCs w:val="18"/>
                <w:lang w:bidi="ar"/>
              </w:rPr>
              <w:t>合计报价不得超出最高限价，否则报价无效。</w:t>
            </w:r>
          </w:p>
          <w:p w14:paraId="01203114">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2、所有参数需进行对应响应，提供需求参数偏离表，缺漏、不提供则认定为响应无效。</w:t>
            </w:r>
          </w:p>
          <w:p w14:paraId="2214D594">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3、“实质性要求”是指采购需求中带“▲”的条款或者不能负偏离的条款或者已经指明不满足按响应文件按无效处理的条款。</w:t>
            </w:r>
          </w:p>
          <w:p w14:paraId="0060CA44">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4、响应产品须列明品牌、生产厂家、型号。</w:t>
            </w:r>
          </w:p>
          <w:p w14:paraId="50EC1B8D">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5、成交供应商需缴纳履约保证金（按成交金额的按5%缴纳，中小微企业按成交金额的按2%缴纳（需提供中小微企业证明）），在承诺的质保期期满后无息退还给成交供应商。</w:t>
            </w:r>
          </w:p>
          <w:p w14:paraId="3C62FB1A">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6、报价包括各种税金、运输费、搬运费（运至院方指定的楼层和科室）、材料费、人工费、调试安装费等一切费用。</w:t>
            </w:r>
          </w:p>
          <w:p w14:paraId="408157A9">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7、成交供应商保证向采购人提供的货物是全新、完整、未使用过的，说明书和合格证等相关证书必须完整，产品的品牌型号需按成交供应商承诺的执行，成交供应商若提供的产品不符合参数要求、品牌型号不一致、相关证书缺失或有质量问题，院方有权拒收并有权要求供应商更换，产生的费用由成交人承担。</w:t>
            </w:r>
          </w:p>
          <w:p w14:paraId="266A3549">
            <w:pPr>
              <w:keepNext w:val="0"/>
              <w:keepLines w:val="0"/>
              <w:widowControl/>
              <w:suppressLineNumbers w:val="0"/>
              <w:jc w:val="both"/>
              <w:textAlignment w:val="center"/>
              <w:rPr>
                <w:rFonts w:hint="eastAsia" w:ascii="微软雅黑" w:hAnsi="微软雅黑" w:eastAsia="微软雅黑" w:cs="微软雅黑"/>
                <w:color w:val="000000"/>
                <w:kern w:val="0"/>
                <w:sz w:val="18"/>
                <w:szCs w:val="18"/>
                <w:lang w:bidi="ar"/>
              </w:rPr>
            </w:pPr>
            <w:r>
              <w:rPr>
                <w:rFonts w:hint="eastAsia" w:ascii="微软雅黑" w:hAnsi="微软雅黑" w:eastAsia="微软雅黑" w:cs="微软雅黑"/>
                <w:color w:val="000000"/>
                <w:kern w:val="0"/>
                <w:sz w:val="18"/>
                <w:szCs w:val="18"/>
                <w:lang w:bidi="ar"/>
              </w:rPr>
              <w:t>8、按国家有关产品“三包”规定执行“三包”，除特别说明外，质保期不得少于</w:t>
            </w:r>
            <w:r>
              <w:rPr>
                <w:rFonts w:hint="eastAsia" w:ascii="微软雅黑" w:hAnsi="微软雅黑" w:eastAsia="微软雅黑" w:cs="微软雅黑"/>
                <w:color w:val="000000"/>
                <w:kern w:val="0"/>
                <w:sz w:val="18"/>
                <w:szCs w:val="18"/>
                <w:lang w:val="en-US" w:eastAsia="zh-CN" w:bidi="ar"/>
              </w:rPr>
              <w:t>2</w:t>
            </w:r>
            <w:r>
              <w:rPr>
                <w:rFonts w:hint="eastAsia" w:ascii="微软雅黑" w:hAnsi="微软雅黑" w:eastAsia="微软雅黑" w:cs="微软雅黑"/>
                <w:color w:val="000000"/>
                <w:kern w:val="0"/>
                <w:sz w:val="18"/>
                <w:szCs w:val="18"/>
                <w:lang w:bidi="ar"/>
              </w:rPr>
              <w:t xml:space="preserve">年，自产品验收合格并能正常使用之日算起。如响应文件中提供产品生产厂家对质保期的承诺，与供应商承诺不一致的，以生产厂家承诺为准。 </w:t>
            </w:r>
          </w:p>
          <w:p w14:paraId="4DA35BB3">
            <w:pPr>
              <w:keepNext w:val="0"/>
              <w:keepLines w:val="0"/>
              <w:widowControl/>
              <w:suppressLineNumbers w:val="0"/>
              <w:jc w:val="both"/>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color w:val="000000"/>
                <w:kern w:val="0"/>
                <w:sz w:val="18"/>
                <w:szCs w:val="18"/>
                <w:lang w:bidi="ar"/>
              </w:rPr>
              <w:t>8、售后服务：成交供应商提供7*24小时售后服务，质保期内产品出现故障，在接到电话通知后，2小时内做出响应（远程解决或做出预备维护动作），24小时内到达维修现场。一般问题应在24小时内解决，否则须在采购人允许的迅速解决的问题的期限（即接到采购人通知后的24小时内）后二个工作日内提供与原产品技术参数要求相同或高于原产品技术参数要求的备用产品，以保证采购人的正常工作。重大问题或其它无法迅速解决的问题应在五个工作日内解决，供应商在接到采购人通知后拒不响应或解决故障的，采购人有权聘请第三方进行维修，由此产生的费用由供应商承担。</w:t>
            </w:r>
          </w:p>
        </w:tc>
        <w:tc>
          <w:tcPr>
            <w:tcW w:w="728" w:type="dxa"/>
            <w:tcBorders>
              <w:top w:val="single" w:color="000000" w:sz="4" w:space="0"/>
              <w:left w:val="single" w:color="000000" w:sz="4" w:space="0"/>
              <w:bottom w:val="single" w:color="000000" w:sz="8" w:space="0"/>
              <w:right w:val="single" w:color="000000" w:sz="4" w:space="0"/>
            </w:tcBorders>
            <w:shd w:val="clear" w:color="auto" w:fill="FFFFFF"/>
            <w:noWrap w:val="0"/>
            <w:vAlign w:val="center"/>
          </w:tcPr>
          <w:p w14:paraId="6CF1366A">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p>
        </w:tc>
      </w:tr>
    </w:tbl>
    <w:p w14:paraId="55192C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FE2A9D"/>
    <w:multiLevelType w:val="singleLevel"/>
    <w:tmpl w:val="C8FE2A9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DC126F"/>
    <w:rsid w:val="05231D97"/>
    <w:rsid w:val="0B6A342D"/>
    <w:rsid w:val="3FA55B78"/>
    <w:rsid w:val="40C15C6F"/>
    <w:rsid w:val="7122410F"/>
    <w:rsid w:val="76F45799"/>
    <w:rsid w:val="7C042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 w:type="paragraph" w:styleId="3">
    <w:name w:val="annotation text"/>
    <w:basedOn w:val="1"/>
    <w:qFormat/>
    <w:uiPriority w:val="0"/>
    <w:pPr>
      <w:jc w:val="left"/>
    </w:p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4921</Words>
  <Characters>5648</Characters>
  <Lines>0</Lines>
  <Paragraphs>0</Paragraphs>
  <TotalTime>18</TotalTime>
  <ScaleCrop>false</ScaleCrop>
  <LinksUpToDate>false</LinksUpToDate>
  <CharactersWithSpaces>5702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2026-08-07T08:17:00Z</dcterms:created>
  <dc:creator>Administrator</dc:creator>
  <cp:lastModifiedBy>mild,m</cp:lastModifiedBy>
  <dcterms:modified xsi:type="dcterms:W3CDTF">2026-08-11T00:40:10Z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eyJoZGlkIjoiNmM0ZWY5N2MyZWM5YTE0M2U1YjZmOTgyNTEzMTQ0NzEiLCJ1c2VySWQiOiIyMTM4MTIxNDQifQ==</vt:lpwstr>
  </property>
  <property fmtid="{D5CDD505-2E9C-101B-9397-08002B2CF9AE}" pid="4" name="ICV">
    <vt:lpwstr>616DC5A96EEB45EC8C1D4DB2729AFF05_13</vt:lpwstr>
  </property>
</Properties>
</file>